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9314D" w14:textId="77777777" w:rsidR="00FF4E19" w:rsidRDefault="00FF4E19" w:rsidP="00DE35ED"/>
    <w:p w14:paraId="555D1027" w14:textId="77777777" w:rsidR="00BB27C0" w:rsidRDefault="00BB27C0" w:rsidP="00DE35ED"/>
    <w:p w14:paraId="52E3BB04" w14:textId="77777777" w:rsidR="008C0DCB" w:rsidRDefault="008C0DCB" w:rsidP="00DE35ED"/>
    <w:p w14:paraId="343A3A70" w14:textId="0475BE2A" w:rsidR="00AC4730" w:rsidRPr="00954425" w:rsidRDefault="008A1F5A" w:rsidP="00DE35ED">
      <w:r>
        <w:t>12</w:t>
      </w:r>
      <w:r w:rsidRPr="008A1F5A">
        <w:rPr>
          <w:vertAlign w:val="superscript"/>
        </w:rPr>
        <w:t>th</w:t>
      </w:r>
      <w:r>
        <w:t xml:space="preserve"> August </w:t>
      </w:r>
      <w:r w:rsidR="00FB4519">
        <w:t xml:space="preserve">2026 </w:t>
      </w:r>
    </w:p>
    <w:p w14:paraId="7EC2E900" w14:textId="77777777" w:rsidR="00377446" w:rsidRDefault="00377446" w:rsidP="00DE35ED">
      <w:pPr>
        <w:rPr>
          <w:lang w:val="en-US"/>
        </w:rPr>
      </w:pPr>
    </w:p>
    <w:p w14:paraId="689E35A3" w14:textId="77777777" w:rsidR="004F6D7C" w:rsidRDefault="004F6D7C" w:rsidP="00DE35ED">
      <w:pPr>
        <w:rPr>
          <w:lang w:val="en-US"/>
        </w:rPr>
      </w:pPr>
    </w:p>
    <w:p w14:paraId="61D1FC26" w14:textId="77777777" w:rsidR="00BB27C0" w:rsidRDefault="00BB27C0" w:rsidP="00DE35ED">
      <w:pPr>
        <w:rPr>
          <w:lang w:val="en-US"/>
        </w:rPr>
      </w:pPr>
    </w:p>
    <w:p w14:paraId="143E6783" w14:textId="533FE308" w:rsidR="00403806" w:rsidRDefault="004F6D7C" w:rsidP="00DE35ED">
      <w:pPr>
        <w:rPr>
          <w:lang w:val="en-US"/>
        </w:rPr>
      </w:pPr>
      <w:r>
        <w:rPr>
          <w:lang w:val="en-US"/>
        </w:rPr>
        <w:t xml:space="preserve">Mr </w:t>
      </w:r>
      <w:r w:rsidRPr="004F6D7C">
        <w:rPr>
          <w:lang w:val="en-US"/>
        </w:rPr>
        <w:t>Bryce Williamson</w:t>
      </w:r>
    </w:p>
    <w:p w14:paraId="32A4811D" w14:textId="1E04F54F" w:rsidR="00010F73" w:rsidRDefault="00E83F7A" w:rsidP="00010F73">
      <w:pPr>
        <w:rPr>
          <w:lang w:val="en-US"/>
        </w:rPr>
      </w:pPr>
      <w:r>
        <w:rPr>
          <w:lang w:val="en-US"/>
        </w:rPr>
        <w:t xml:space="preserve">Director </w:t>
      </w:r>
    </w:p>
    <w:p w14:paraId="1DDA480A" w14:textId="5D219939" w:rsidR="00E83F7A" w:rsidRPr="00010F73" w:rsidRDefault="00E83F7A" w:rsidP="00010F73">
      <w:pPr>
        <w:rPr>
          <w:lang w:val="en-US"/>
        </w:rPr>
      </w:pPr>
      <w:r>
        <w:rPr>
          <w:lang w:val="en-US"/>
        </w:rPr>
        <w:t xml:space="preserve">Responsible Business Conduct Unit </w:t>
      </w:r>
    </w:p>
    <w:p w14:paraId="124AC004" w14:textId="610AF44D" w:rsidR="008960F3" w:rsidRDefault="008960F3" w:rsidP="00010F73">
      <w:pPr>
        <w:rPr>
          <w:lang w:val="en-US"/>
        </w:rPr>
      </w:pPr>
      <w:r>
        <w:rPr>
          <w:lang w:val="en-US"/>
        </w:rPr>
        <w:t xml:space="preserve">The Treasury </w:t>
      </w:r>
    </w:p>
    <w:p w14:paraId="122D9943" w14:textId="72EA6C41" w:rsidR="008960F3" w:rsidRDefault="008960F3" w:rsidP="00DE35ED">
      <w:pPr>
        <w:rPr>
          <w:lang w:val="en-US"/>
        </w:rPr>
      </w:pPr>
      <w:r>
        <w:rPr>
          <w:lang w:val="en-US"/>
        </w:rPr>
        <w:t>Langton Crescent</w:t>
      </w:r>
    </w:p>
    <w:p w14:paraId="5C226B42" w14:textId="354587F9" w:rsidR="000A18FB" w:rsidRDefault="008960F3" w:rsidP="0046283E">
      <w:pPr>
        <w:rPr>
          <w:shd w:val="clear" w:color="auto" w:fill="FFFFFF"/>
        </w:rPr>
      </w:pPr>
      <w:r>
        <w:rPr>
          <w:lang w:val="en-US"/>
        </w:rPr>
        <w:t>Parkes ACT  2600</w:t>
      </w:r>
    </w:p>
    <w:p w14:paraId="3C3475A2" w14:textId="77777777" w:rsidR="00403806" w:rsidRDefault="00403806" w:rsidP="00DE35ED">
      <w:pPr>
        <w:rPr>
          <w:shd w:val="clear" w:color="auto" w:fill="FFFFFF"/>
        </w:rPr>
      </w:pPr>
    </w:p>
    <w:p w14:paraId="0B0A1FA2" w14:textId="77777777" w:rsidR="00BB27C0" w:rsidRDefault="00BB27C0" w:rsidP="00DE35ED">
      <w:pPr>
        <w:rPr>
          <w:shd w:val="clear" w:color="auto" w:fill="FFFFFF"/>
        </w:rPr>
      </w:pPr>
    </w:p>
    <w:p w14:paraId="4DF249B7" w14:textId="77777777" w:rsidR="00377446" w:rsidRDefault="00377446" w:rsidP="00DE35ED">
      <w:pPr>
        <w:rPr>
          <w:shd w:val="clear" w:color="auto" w:fill="FFFFFF"/>
        </w:rPr>
      </w:pPr>
    </w:p>
    <w:p w14:paraId="164380D0" w14:textId="71B5D43B" w:rsidR="00EC2CBE" w:rsidRDefault="00EC2CBE" w:rsidP="00DE35ED">
      <w:r w:rsidRPr="00EC2CBE">
        <w:t xml:space="preserve">Email: </w:t>
      </w:r>
      <w:hyperlink r:id="rId12" w:history="1">
        <w:r w:rsidR="00E83F7A" w:rsidRPr="009B3FF8">
          <w:rPr>
            <w:rStyle w:val="Hyperlink"/>
            <w:rFonts w:cs="Arial"/>
          </w:rPr>
          <w:t>DPCDConsultations@treasury.gov.au</w:t>
        </w:r>
      </w:hyperlink>
      <w:r w:rsidR="00DB3333">
        <w:rPr>
          <w:rFonts w:cs="Arial"/>
        </w:rPr>
        <w:t xml:space="preserve"> </w:t>
      </w:r>
      <w:r w:rsidR="000D7200">
        <w:t xml:space="preserve"> </w:t>
      </w:r>
      <w:r w:rsidR="00612150">
        <w:t xml:space="preserve"> </w:t>
      </w:r>
    </w:p>
    <w:p w14:paraId="07CD1738" w14:textId="77777777" w:rsidR="00EC2CBE" w:rsidRDefault="00EC2CBE" w:rsidP="00DE35ED"/>
    <w:p w14:paraId="7C96C49F" w14:textId="77777777" w:rsidR="00377446" w:rsidRDefault="00377446" w:rsidP="00DE35ED"/>
    <w:p w14:paraId="3A8D84C6" w14:textId="77777777" w:rsidR="00BB27C0" w:rsidRPr="00EC2CBE" w:rsidRDefault="00BB27C0" w:rsidP="00DE35ED"/>
    <w:p w14:paraId="099D1EE6" w14:textId="40DA6823" w:rsidR="006A78C3" w:rsidRDefault="006A78C3" w:rsidP="00DE35ED">
      <w:r w:rsidRPr="00954425">
        <w:t>Dear</w:t>
      </w:r>
      <w:r w:rsidR="000F5962" w:rsidRPr="00954425">
        <w:t xml:space="preserve"> </w:t>
      </w:r>
      <w:r w:rsidR="004F6D7C">
        <w:t xml:space="preserve">Mr Williamson  </w:t>
      </w:r>
    </w:p>
    <w:p w14:paraId="684DFD57" w14:textId="729AA15A" w:rsidR="00284E38" w:rsidRPr="007B6251" w:rsidRDefault="00284E38" w:rsidP="00DE35ED">
      <w:pPr>
        <w:spacing w:before="120" w:after="120"/>
        <w:rPr>
          <w:b/>
          <w:bCs/>
        </w:rPr>
      </w:pPr>
      <w:r>
        <w:rPr>
          <w:b/>
          <w:bCs/>
        </w:rPr>
        <w:t>SMSF ASSOCIATION SUBMISSION</w:t>
      </w:r>
      <w:r w:rsidR="00FE28E5">
        <w:rPr>
          <w:b/>
          <w:bCs/>
        </w:rPr>
        <w:t>:</w:t>
      </w:r>
      <w:r>
        <w:rPr>
          <w:b/>
          <w:bCs/>
        </w:rPr>
        <w:t xml:space="preserve"> </w:t>
      </w:r>
      <w:r w:rsidR="004F6D7C">
        <w:rPr>
          <w:b/>
          <w:bCs/>
        </w:rPr>
        <w:t>REGULATION</w:t>
      </w:r>
      <w:r w:rsidR="00DB3333">
        <w:rPr>
          <w:b/>
          <w:bCs/>
        </w:rPr>
        <w:t xml:space="preserve"> </w:t>
      </w:r>
      <w:r w:rsidR="004F6D7C">
        <w:rPr>
          <w:b/>
          <w:bCs/>
        </w:rPr>
        <w:t>OF ACCOUNTING, AUDITING AND CONSULTING FIRMS IN AUSTRALIA</w:t>
      </w:r>
    </w:p>
    <w:p w14:paraId="218E8DD8" w14:textId="77777777" w:rsidR="00F31C6D" w:rsidRDefault="00842FF2" w:rsidP="00712B6D">
      <w:r>
        <w:t xml:space="preserve">The SMSF Association welcomes the opportunity to provide this submission </w:t>
      </w:r>
      <w:r w:rsidR="00697DA9" w:rsidRPr="00697DA9">
        <w:t xml:space="preserve">in response </w:t>
      </w:r>
      <w:r>
        <w:t>to the</w:t>
      </w:r>
      <w:r w:rsidRPr="00556024">
        <w:t xml:space="preserve"> </w:t>
      </w:r>
      <w:r w:rsidRPr="004F6D7C">
        <w:rPr>
          <w:i/>
          <w:iCs/>
        </w:rPr>
        <w:t>Regulation of accounting, auditing and consulting firms in Australia</w:t>
      </w:r>
      <w:r>
        <w:t xml:space="preserve"> c</w:t>
      </w:r>
      <w:r w:rsidRPr="004816AA">
        <w:t>onsultation</w:t>
      </w:r>
      <w:r w:rsidRPr="00697DA9">
        <w:t>.</w:t>
      </w:r>
    </w:p>
    <w:p w14:paraId="5B7FF061" w14:textId="77777777" w:rsidR="009070B9" w:rsidRDefault="009070B9" w:rsidP="00D8110A"/>
    <w:p w14:paraId="3CEC2BC3" w14:textId="6925075C" w:rsidR="00F31C6D" w:rsidRDefault="00EC4D19" w:rsidP="00245EE1">
      <w:r w:rsidRPr="00EC4D19">
        <w:t xml:space="preserve">The SMSF Association supports proportionate reform to address identified gaps in the oversight </w:t>
      </w:r>
      <w:r w:rsidR="00016AFE">
        <w:t xml:space="preserve">and monitoring </w:t>
      </w:r>
      <w:r w:rsidRPr="00EC4D19">
        <w:t xml:space="preserve">of firms that provide audit services. While quality management and professional obligations already apply, firm-level accountability should be strengthened through a targeted registration model that applies to all relevant audit firms, regardless of structure, and requires ongoing compliance with </w:t>
      </w:r>
      <w:r w:rsidR="003E5397">
        <w:t xml:space="preserve">international </w:t>
      </w:r>
      <w:r w:rsidRPr="00EC4D19">
        <w:t>quality management and independence obligations.</w:t>
      </w:r>
    </w:p>
    <w:p w14:paraId="4FA8B578" w14:textId="77777777" w:rsidR="00EF57C5" w:rsidRDefault="00EF57C5" w:rsidP="00EF57C5">
      <w:pPr>
        <w:rPr>
          <w:lang w:eastAsia="en-AU"/>
        </w:rPr>
      </w:pPr>
    </w:p>
    <w:p w14:paraId="35E0C4EF" w14:textId="77777777" w:rsidR="00F31C6D" w:rsidRDefault="00842FF2" w:rsidP="006A2130">
      <w:r>
        <w:t xml:space="preserve">Importantly, this </w:t>
      </w:r>
      <w:r w:rsidRPr="006200F8">
        <w:t>model should be scoped</w:t>
      </w:r>
      <w:r>
        <w:t xml:space="preserve"> to avoid duplication or unintentionally capturing other audit activities</w:t>
      </w:r>
      <w:r w:rsidRPr="006200F8">
        <w:t xml:space="preserve">. </w:t>
      </w:r>
      <w:r>
        <w:t xml:space="preserve">This includes the exclusion of </w:t>
      </w:r>
      <w:r w:rsidRPr="006200F8">
        <w:t>Authorised Audit Companies</w:t>
      </w:r>
      <w:r>
        <w:t xml:space="preserve"> (AACs)</w:t>
      </w:r>
      <w:r w:rsidRPr="006200F8">
        <w:t>, which are already registered with ASIC and subject to existing requirements</w:t>
      </w:r>
      <w:r w:rsidR="0024670D" w:rsidRPr="0024670D">
        <w:t>,</w:t>
      </w:r>
      <w:r>
        <w:t xml:space="preserve"> and </w:t>
      </w:r>
      <w:r w:rsidRPr="006200F8">
        <w:t xml:space="preserve">SMSF auditors, who do not audit reporting entities and are already subject to oversight by the Australian Taxation Office </w:t>
      </w:r>
      <w:r>
        <w:t xml:space="preserve">(ATO) </w:t>
      </w:r>
      <w:r w:rsidRPr="006200F8">
        <w:t>and enforcement action by ASIC.</w:t>
      </w:r>
    </w:p>
    <w:p w14:paraId="2CB5759E" w14:textId="77777777" w:rsidR="00EF57C5" w:rsidRDefault="00EF57C5" w:rsidP="00EF57C5">
      <w:pPr>
        <w:rPr>
          <w:lang w:eastAsia="en-AU"/>
        </w:rPr>
      </w:pPr>
    </w:p>
    <w:p w14:paraId="78EF6924" w14:textId="77777777" w:rsidR="00F31C6D" w:rsidRDefault="00842FF2" w:rsidP="00E54EC9">
      <w:r w:rsidRPr="005E7656">
        <w:t xml:space="preserve">Any new obligations must </w:t>
      </w:r>
      <w:r>
        <w:t xml:space="preserve">also </w:t>
      </w:r>
      <w:r w:rsidRPr="005E7656">
        <w:t>be proportionate to the nature, scale and complexity of the firm, balancing improved compliance outcomes with the cost and complexity</w:t>
      </w:r>
      <w:r>
        <w:t xml:space="preserve"> that will flow </w:t>
      </w:r>
      <w:r w:rsidR="004F2C12" w:rsidRPr="004F2C12">
        <w:t>through</w:t>
      </w:r>
      <w:r>
        <w:t xml:space="preserve"> to reporting </w:t>
      </w:r>
      <w:r w:rsidRPr="005E7656">
        <w:t>entities.</w:t>
      </w:r>
    </w:p>
    <w:p w14:paraId="40391E17" w14:textId="77777777" w:rsidR="00EF57C5" w:rsidRDefault="00EF57C5" w:rsidP="00EF57C5">
      <w:pPr>
        <w:rPr>
          <w:lang w:eastAsia="en-AU"/>
        </w:rPr>
      </w:pPr>
    </w:p>
    <w:p w14:paraId="31F39B65" w14:textId="77777777" w:rsidR="00F31C6D" w:rsidRDefault="00842FF2" w:rsidP="005C0EFA">
      <w:r>
        <w:t xml:space="preserve">We are also concerned that </w:t>
      </w:r>
      <w:r w:rsidRPr="00FF27B7">
        <w:t xml:space="preserve">regulatory responses often focus on increasing penalties and consequences after harm has occurred. While appropriate sanctions are important, prevention and early intervention are more effective in improving conduct and reducing </w:t>
      </w:r>
      <w:r>
        <w:t xml:space="preserve">public and market harm. </w:t>
      </w:r>
      <w:r w:rsidR="00D6572C" w:rsidRPr="00D6572C">
        <w:t>They</w:t>
      </w:r>
      <w:r>
        <w:t xml:space="preserve"> will also reduce resulting </w:t>
      </w:r>
      <w:r w:rsidRPr="00FF27B7">
        <w:t>investigation and enforcement costs</w:t>
      </w:r>
      <w:r>
        <w:t xml:space="preserve">, which are </w:t>
      </w:r>
      <w:r w:rsidRPr="00FF27B7">
        <w:t>ultimately borne by ASIC-regulated entities under the Industry Funding Model</w:t>
      </w:r>
      <w:r>
        <w:t xml:space="preserve"> (IFM)</w:t>
      </w:r>
      <w:r w:rsidRPr="00FF27B7">
        <w:t>.</w:t>
      </w:r>
      <w:r>
        <w:t xml:space="preserve"> </w:t>
      </w:r>
      <w:r w:rsidR="00D6572C" w:rsidRPr="00D6572C">
        <w:t>For</w:t>
      </w:r>
      <w:r>
        <w:t xml:space="preserve"> a new registration model to be </w:t>
      </w:r>
      <w:r>
        <w:lastRenderedPageBreak/>
        <w:t xml:space="preserve">effective, it must support </w:t>
      </w:r>
      <w:r w:rsidRPr="005E7656">
        <w:t>proactive and ongoing monitoring that identifies non-compliance early, before issues become systemic or material.</w:t>
      </w:r>
    </w:p>
    <w:p w14:paraId="43AA9BB0" w14:textId="77777777" w:rsidR="007E263B" w:rsidRDefault="007E263B" w:rsidP="004F6D7C">
      <w:pPr>
        <w:rPr>
          <w:lang w:eastAsia="en-AU"/>
        </w:rPr>
      </w:pPr>
    </w:p>
    <w:p w14:paraId="3EB3EB89" w14:textId="77777777" w:rsidR="00F31C6D" w:rsidRDefault="00842FF2" w:rsidP="00F52E1E">
      <w:r>
        <w:t xml:space="preserve">While a number of other options are canvassed, we do not support </w:t>
      </w:r>
      <w:r w:rsidR="00752F47" w:rsidRPr="00752F47">
        <w:t>their</w:t>
      </w:r>
      <w:r>
        <w:t xml:space="preserve"> implementation at this time. </w:t>
      </w:r>
      <w:r w:rsidR="00752F47" w:rsidRPr="00752F47">
        <w:t xml:space="preserve">If </w:t>
      </w:r>
      <w:r>
        <w:t xml:space="preserve">the options </w:t>
      </w:r>
      <w:r w:rsidR="00752F47" w:rsidRPr="00752F47">
        <w:t>we support</w:t>
      </w:r>
      <w:r>
        <w:t xml:space="preserve"> are implemented</w:t>
      </w:r>
      <w:r w:rsidR="00752F47" w:rsidRPr="00752F47">
        <w:t xml:space="preserve"> effectively</w:t>
      </w:r>
      <w:r>
        <w:t xml:space="preserve">, they </w:t>
      </w:r>
      <w:r w:rsidR="00752F47" w:rsidRPr="00752F47">
        <w:t xml:space="preserve">should </w:t>
      </w:r>
      <w:r>
        <w:t xml:space="preserve">sufficiently address the issues identified. </w:t>
      </w:r>
      <w:r w:rsidR="00752F47" w:rsidRPr="00752F47">
        <w:t>Further regulation should only be considered if these measures prove inadequate.</w:t>
      </w:r>
    </w:p>
    <w:p w14:paraId="1B56AF6B" w14:textId="77777777" w:rsidR="00EF57C5" w:rsidRDefault="00EF57C5" w:rsidP="00EF57C5">
      <w:pPr>
        <w:rPr>
          <w:lang w:eastAsia="en-AU"/>
        </w:rPr>
      </w:pPr>
    </w:p>
    <w:p w14:paraId="50F184E8" w14:textId="77777777" w:rsidR="00F31C6D" w:rsidRDefault="00842FF2" w:rsidP="00257EAC">
      <w:r>
        <w:t xml:space="preserve">A summary of </w:t>
      </w:r>
      <w:r w:rsidR="00532EFA" w:rsidRPr="00532EFA">
        <w:t xml:space="preserve">our </w:t>
      </w:r>
      <w:r>
        <w:t xml:space="preserve">responses to the proposed options </w:t>
      </w:r>
      <w:r w:rsidR="00532EFA" w:rsidRPr="00532EFA">
        <w:t>is provided</w:t>
      </w:r>
      <w:r>
        <w:t xml:space="preserve"> in Attachment 1</w:t>
      </w:r>
      <w:r w:rsidR="00532EFA" w:rsidRPr="00532EFA">
        <w:t>,</w:t>
      </w:r>
      <w:r>
        <w:t xml:space="preserve"> and our detailed responses to the consultation paper are contained in Attachment 2.</w:t>
      </w:r>
    </w:p>
    <w:p w14:paraId="737EAE33" w14:textId="77777777" w:rsidR="00C26A82" w:rsidRDefault="00C26A82" w:rsidP="00CB6BC3"/>
    <w:p w14:paraId="74325A84" w14:textId="77777777" w:rsidR="00F31C6D" w:rsidRDefault="00842FF2" w:rsidP="009A273F">
      <w:r>
        <w:rPr>
          <w:rFonts w:ascii="Calibri" w:hAnsi="Calibri" w:cs="Arial"/>
        </w:rPr>
        <w:t>If you have any questions about our submission, please do not hesitate to contact Keddie Waller, Head of Professional Standards</w:t>
      </w:r>
      <w:r w:rsidR="00647B01" w:rsidRPr="00647B01">
        <w:t>,</w:t>
      </w:r>
      <w:r>
        <w:rPr>
          <w:rFonts w:ascii="Calibri" w:hAnsi="Calibri" w:cs="Arial"/>
        </w:rPr>
        <w:t xml:space="preserve"> via email </w:t>
      </w:r>
      <w:r w:rsidR="00647B01" w:rsidRPr="00647B01">
        <w:t xml:space="preserve">at </w:t>
      </w:r>
      <w:hyperlink r:id="rId13" w:history="1">
        <w:r w:rsidRPr="000E3EFC">
          <w:rPr>
            <w:rStyle w:val="Hyperlink"/>
            <w:rFonts w:ascii="Calibri" w:hAnsi="Calibri" w:cs="Arial"/>
          </w:rPr>
          <w:t>keddiewaller@smsfassociation.com</w:t>
        </w:r>
      </w:hyperlink>
      <w:r w:rsidR="00647B01" w:rsidRPr="00647B01">
        <w:t>.</w:t>
      </w:r>
    </w:p>
    <w:p w14:paraId="120E12D2" w14:textId="77777777" w:rsidR="00457614" w:rsidRDefault="00457614" w:rsidP="00DE35ED">
      <w:pPr>
        <w:rPr>
          <w:rFonts w:ascii="Calibri" w:hAnsi="Calibri" w:cs="Arial"/>
        </w:rPr>
      </w:pPr>
    </w:p>
    <w:p w14:paraId="25D445DF" w14:textId="77777777" w:rsidR="009D429B" w:rsidRPr="0077235E" w:rsidRDefault="009D429B" w:rsidP="00DE35ED">
      <w:r w:rsidRPr="0077235E">
        <w:t>Yours sincerely,</w:t>
      </w:r>
    </w:p>
    <w:p w14:paraId="2AA34F32" w14:textId="77777777" w:rsidR="004816AA" w:rsidRDefault="004816AA" w:rsidP="00DE35ED">
      <w:pPr>
        <w:rPr>
          <w:rFonts w:ascii="Calibri" w:hAnsi="Calibri" w:cs="Arial"/>
          <w:noProof/>
        </w:rPr>
      </w:pPr>
    </w:p>
    <w:p w14:paraId="7DABD708" w14:textId="4DB18663" w:rsidR="004F6D7C" w:rsidRPr="004A6011" w:rsidRDefault="009E2905" w:rsidP="00DE35ED">
      <w:pPr>
        <w:rPr>
          <w:rFonts w:ascii="Calibri" w:hAnsi="Calibri" w:cs="Arial"/>
          <w:noProof/>
          <w:sz w:val="24"/>
          <w:szCs w:val="24"/>
        </w:rPr>
      </w:pPr>
      <w:r w:rsidRPr="004A6011">
        <w:rPr>
          <w:rFonts w:ascii="Segoe Script" w:hAnsi="Segoe Script"/>
          <w:noProof/>
          <w:sz w:val="24"/>
          <w:szCs w:val="24"/>
        </w:rPr>
        <w:t xml:space="preserve">Keddie Waller </w:t>
      </w:r>
    </w:p>
    <w:p w14:paraId="65C6E914" w14:textId="0D462C1B" w:rsidR="00FA7BC2" w:rsidRDefault="00110BDD" w:rsidP="00331570">
      <w:pPr>
        <w:rPr>
          <w:rFonts w:ascii="Calibri" w:hAnsi="Calibri" w:cs="Arial"/>
        </w:rPr>
      </w:pPr>
      <w:r w:rsidRPr="00110BDD">
        <w:rPr>
          <w:rFonts w:ascii="Calibri" w:hAnsi="Calibri" w:cs="Arial"/>
          <w:noProof/>
        </w:rPr>
        <w:br/>
      </w:r>
      <w:r w:rsidR="00331570">
        <w:rPr>
          <w:rFonts w:ascii="Calibri" w:hAnsi="Calibri" w:cs="Arial"/>
        </w:rPr>
        <w:t>Keddie Waller</w:t>
      </w:r>
    </w:p>
    <w:p w14:paraId="7AEDB342" w14:textId="005B3560" w:rsidR="00331570" w:rsidRDefault="00331570" w:rsidP="00331570">
      <w:pPr>
        <w:rPr>
          <w:rFonts w:ascii="Calibri" w:hAnsi="Calibri" w:cs="Arial"/>
        </w:rPr>
      </w:pPr>
      <w:r>
        <w:rPr>
          <w:rFonts w:ascii="Calibri" w:hAnsi="Calibri" w:cs="Arial"/>
        </w:rPr>
        <w:t>Head of Professional Standards</w:t>
      </w:r>
    </w:p>
    <w:p w14:paraId="67F6C200" w14:textId="77777777" w:rsidR="00692157" w:rsidRDefault="00692157" w:rsidP="00DE35ED"/>
    <w:p w14:paraId="3B4EF36C" w14:textId="77777777" w:rsidR="00F31C6D" w:rsidRDefault="00A5423A">
      <w:pPr>
        <w:pStyle w:val="Heading1"/>
      </w:pPr>
      <w:r w:rsidRPr="00A5423A">
        <w:t>About the SMSF Association</w:t>
      </w:r>
    </w:p>
    <w:p w14:paraId="0F003280" w14:textId="2CF9FD18" w:rsidR="00F31C6D" w:rsidRDefault="00842FF2" w:rsidP="00E672F5">
      <w:r w:rsidRPr="00DE72E4">
        <w:rPr>
          <w:rFonts w:ascii="Calibri" w:hAnsi="Calibri" w:cs="Arial"/>
        </w:rPr>
        <w:t>The SMSF Association is the peak body representing the self-managed superannuation fund (SMSF) sector</w:t>
      </w:r>
      <w:r w:rsidR="007F5CD2" w:rsidRPr="007F5CD2">
        <w:t>,</w:t>
      </w:r>
      <w:r w:rsidRPr="00DE72E4">
        <w:rPr>
          <w:rFonts w:ascii="Calibri" w:hAnsi="Calibri" w:cs="Arial"/>
        </w:rPr>
        <w:t xml:space="preserve"> which </w:t>
      </w:r>
      <w:r w:rsidR="007F5CD2" w:rsidRPr="007F5CD2">
        <w:t>comprises more than</w:t>
      </w:r>
      <w:r w:rsidRPr="00DE72E4">
        <w:rPr>
          <w:rFonts w:ascii="Calibri" w:hAnsi="Calibri" w:cs="Arial"/>
        </w:rPr>
        <w:t xml:space="preserve"> 1.</w:t>
      </w:r>
      <w:r w:rsidR="00D138E1">
        <w:rPr>
          <w:rFonts w:ascii="Calibri" w:hAnsi="Calibri" w:cs="Arial"/>
        </w:rPr>
        <w:t>2</w:t>
      </w:r>
      <w:r w:rsidRPr="00DE72E4">
        <w:rPr>
          <w:rFonts w:ascii="Calibri" w:hAnsi="Calibri" w:cs="Arial"/>
        </w:rPr>
        <w:t xml:space="preserve"> million SMSF members and a diverse range of financial professionals. The SMSF Association continues to build integrity through professional and education standards for practitioners who service the SMSF sector. The SMSF Association consists of professional members, principally accountants, auditors, lawyers, financial advisers, tax professionals and actuaries. </w:t>
      </w:r>
      <w:r w:rsidR="007F5CD2" w:rsidRPr="007F5CD2">
        <w:t>The</w:t>
      </w:r>
      <w:r w:rsidRPr="00DE72E4">
        <w:rPr>
          <w:rFonts w:ascii="Calibri" w:hAnsi="Calibri" w:cs="Arial"/>
        </w:rPr>
        <w:t xml:space="preserve"> SMSF Association </w:t>
      </w:r>
      <w:r w:rsidR="007F5CD2" w:rsidRPr="007F5CD2">
        <w:t xml:space="preserve">also </w:t>
      </w:r>
      <w:r w:rsidRPr="00DE72E4">
        <w:rPr>
          <w:rFonts w:ascii="Calibri" w:hAnsi="Calibri" w:cs="Arial"/>
        </w:rPr>
        <w:t>represents SMSF trustee members and provides them with access to independent education materials to assist them in the running of their SMSF.</w:t>
      </w:r>
    </w:p>
    <w:p w14:paraId="55507D7F" w14:textId="0BEB620F" w:rsidR="00403806" w:rsidRDefault="00403806">
      <w:pPr>
        <w:spacing w:after="160" w:line="259" w:lineRule="auto"/>
        <w:rPr>
          <w:rFonts w:ascii="Calibri" w:hAnsi="Calibri" w:cs="Arial"/>
        </w:rPr>
      </w:pPr>
      <w:r>
        <w:rPr>
          <w:rFonts w:ascii="Calibri" w:hAnsi="Calibri" w:cs="Arial"/>
        </w:rPr>
        <w:br w:type="page"/>
      </w:r>
    </w:p>
    <w:p w14:paraId="28234837" w14:textId="228CF37E" w:rsidR="0040619A" w:rsidRDefault="0040619A" w:rsidP="0040619A">
      <w:pPr>
        <w:tabs>
          <w:tab w:val="left" w:pos="938"/>
        </w:tabs>
        <w:contextualSpacing/>
        <w:jc w:val="right"/>
        <w:rPr>
          <w:b/>
          <w:bCs/>
        </w:rPr>
      </w:pPr>
      <w:r w:rsidRPr="00557B1B">
        <w:rPr>
          <w:b/>
          <w:bCs/>
        </w:rPr>
        <w:lastRenderedPageBreak/>
        <w:t>ATTACHMENT</w:t>
      </w:r>
      <w:r w:rsidR="00EF3F89">
        <w:rPr>
          <w:b/>
          <w:bCs/>
        </w:rPr>
        <w:t xml:space="preserve"> 1 </w:t>
      </w:r>
    </w:p>
    <w:p w14:paraId="57B45F07" w14:textId="1B32DF21" w:rsidR="00F31C6D" w:rsidRDefault="00147CEB" w:rsidP="00147CEB">
      <w:pPr>
        <w:pStyle w:val="Heading1"/>
      </w:pPr>
      <w:r w:rsidRPr="00147CEB">
        <w:t xml:space="preserve">SMSF Association </w:t>
      </w:r>
      <w:r w:rsidR="008A5166">
        <w:t>r</w:t>
      </w:r>
      <w:r w:rsidRPr="00147CEB">
        <w:t>esponse to consultation paper options</w:t>
      </w:r>
    </w:p>
    <w:tbl>
      <w:tblPr>
        <w:tblStyle w:val="TableGrid"/>
        <w:tblW w:w="0" w:type="auto"/>
        <w:tblLook w:val="04A0" w:firstRow="1" w:lastRow="0" w:firstColumn="1" w:lastColumn="0" w:noHBand="0" w:noVBand="1"/>
      </w:tblPr>
      <w:tblGrid>
        <w:gridCol w:w="4508"/>
        <w:gridCol w:w="4508"/>
      </w:tblGrid>
      <w:tr w:rsidR="007B76E0" w:rsidRPr="00897692" w14:paraId="31C51090" w14:textId="77777777" w:rsidTr="008F5C69">
        <w:tc>
          <w:tcPr>
            <w:tcW w:w="4508" w:type="dxa"/>
          </w:tcPr>
          <w:p w14:paraId="1F3C4432" w14:textId="26771497" w:rsidR="007B76E0" w:rsidRPr="00897692" w:rsidRDefault="009B61E3" w:rsidP="009B61E3">
            <w:pPr>
              <w:pStyle w:val="Heading3"/>
              <w:rPr>
                <w:lang w:eastAsia="en-AU"/>
              </w:rPr>
            </w:pPr>
            <w:r w:rsidRPr="009B61E3">
              <w:t>Option</w:t>
            </w:r>
          </w:p>
        </w:tc>
        <w:tc>
          <w:tcPr>
            <w:tcW w:w="4508" w:type="dxa"/>
          </w:tcPr>
          <w:p w14:paraId="6610E8EF" w14:textId="501E3D29" w:rsidR="007B76E0" w:rsidRPr="00897692" w:rsidRDefault="00842FF2" w:rsidP="0004347F">
            <w:pPr>
              <w:pStyle w:val="Heading3"/>
              <w:rPr>
                <w:lang w:eastAsia="en-AU"/>
              </w:rPr>
            </w:pPr>
            <w:r w:rsidRPr="00897692">
              <w:rPr>
                <w:lang w:eastAsia="en-AU"/>
              </w:rPr>
              <w:t xml:space="preserve">SMSF Association </w:t>
            </w:r>
            <w:r w:rsidR="0004347F" w:rsidRPr="0004347F">
              <w:t>response</w:t>
            </w:r>
          </w:p>
        </w:tc>
      </w:tr>
      <w:tr w:rsidR="007B76E0" w14:paraId="6EB07DB7" w14:textId="77777777" w:rsidTr="008F5C69">
        <w:tc>
          <w:tcPr>
            <w:tcW w:w="4508" w:type="dxa"/>
          </w:tcPr>
          <w:p w14:paraId="701921D3" w14:textId="77777777" w:rsidR="007B76E0" w:rsidRPr="00101EE1" w:rsidRDefault="007B76E0" w:rsidP="008F5C69">
            <w:pPr>
              <w:rPr>
                <w:i/>
                <w:iCs/>
                <w:lang w:eastAsia="en-AU"/>
              </w:rPr>
            </w:pPr>
            <w:r w:rsidRPr="00101EE1">
              <w:rPr>
                <w:i/>
                <w:iCs/>
                <w:lang w:eastAsia="en-AU"/>
              </w:rPr>
              <w:t>Option 1A: Require reporting entities to obtain audit services only from audit firms licensed by ASIC, with quality management and ethical obligations imposed as ongoing conditions of holding their licence</w:t>
            </w:r>
          </w:p>
          <w:p w14:paraId="0F33A0BA" w14:textId="77777777" w:rsidR="007B76E0" w:rsidRPr="00101EE1" w:rsidRDefault="007B76E0" w:rsidP="008F5C69">
            <w:pPr>
              <w:rPr>
                <w:i/>
                <w:iCs/>
                <w:lang w:eastAsia="en-AU"/>
              </w:rPr>
            </w:pPr>
          </w:p>
        </w:tc>
        <w:tc>
          <w:tcPr>
            <w:tcW w:w="4508" w:type="dxa"/>
          </w:tcPr>
          <w:p w14:paraId="4AA9C9D3" w14:textId="4869AA4A" w:rsidR="007B76E0" w:rsidRDefault="00DF58DE" w:rsidP="00F21408">
            <w:pPr>
              <w:rPr>
                <w:lang w:eastAsia="en-AU"/>
              </w:rPr>
            </w:pPr>
            <w:r>
              <w:t>Support f</w:t>
            </w:r>
            <w:r w:rsidR="00842FF2" w:rsidRPr="00F21408">
              <w:t xml:space="preserve">irms that provide audit services to reporting entities </w:t>
            </w:r>
            <w:r>
              <w:t>being</w:t>
            </w:r>
            <w:r w:rsidR="00842FF2" w:rsidRPr="00F21408">
              <w:t xml:space="preserve"> required to register with an appropriate regulator and comply with firm</w:t>
            </w:r>
            <w:r w:rsidR="00F21408" w:rsidRPr="00F21408">
              <w:t>-</w:t>
            </w:r>
            <w:r w:rsidR="00842FF2" w:rsidRPr="00F21408">
              <w:t xml:space="preserve">wide obligations as </w:t>
            </w:r>
            <w:r w:rsidR="00453487">
              <w:t xml:space="preserve">a </w:t>
            </w:r>
            <w:r w:rsidR="00842FF2" w:rsidRPr="00F21408">
              <w:t>condition of registration</w:t>
            </w:r>
          </w:p>
        </w:tc>
      </w:tr>
      <w:tr w:rsidR="007B76E0" w14:paraId="41D16490" w14:textId="77777777" w:rsidTr="008F5C69">
        <w:tc>
          <w:tcPr>
            <w:tcW w:w="4508" w:type="dxa"/>
          </w:tcPr>
          <w:p w14:paraId="03D3BC10" w14:textId="77777777" w:rsidR="007B76E0" w:rsidRPr="00101EE1" w:rsidRDefault="007B76E0" w:rsidP="008F5C69">
            <w:pPr>
              <w:rPr>
                <w:i/>
                <w:iCs/>
                <w:lang w:eastAsia="en-AU"/>
              </w:rPr>
            </w:pPr>
            <w:r w:rsidRPr="00101EE1">
              <w:rPr>
                <w:i/>
                <w:iCs/>
                <w:lang w:eastAsia="en-AU"/>
              </w:rPr>
              <w:t>Option 1B: Require RCAs to comply with professional conduct obligations as an ongoing obligation of registration</w:t>
            </w:r>
          </w:p>
          <w:p w14:paraId="6CE2588C" w14:textId="77777777" w:rsidR="007B76E0" w:rsidRPr="00101EE1" w:rsidRDefault="007B76E0" w:rsidP="008F5C69">
            <w:pPr>
              <w:rPr>
                <w:i/>
                <w:iCs/>
                <w:lang w:eastAsia="en-AU"/>
              </w:rPr>
            </w:pPr>
          </w:p>
        </w:tc>
        <w:tc>
          <w:tcPr>
            <w:tcW w:w="4508" w:type="dxa"/>
          </w:tcPr>
          <w:p w14:paraId="426BEF8A" w14:textId="77777777" w:rsidR="007B76E0" w:rsidRDefault="007B76E0" w:rsidP="008F5C69">
            <w:pPr>
              <w:rPr>
                <w:lang w:eastAsia="en-AU"/>
              </w:rPr>
            </w:pPr>
            <w:r>
              <w:rPr>
                <w:lang w:eastAsia="en-AU"/>
              </w:rPr>
              <w:t>Do not support</w:t>
            </w:r>
          </w:p>
        </w:tc>
      </w:tr>
      <w:tr w:rsidR="007B76E0" w14:paraId="1BE57238" w14:textId="77777777" w:rsidTr="008F5C69">
        <w:tc>
          <w:tcPr>
            <w:tcW w:w="4508" w:type="dxa"/>
          </w:tcPr>
          <w:p w14:paraId="190BC394" w14:textId="77777777" w:rsidR="007B76E0" w:rsidRPr="00101EE1" w:rsidRDefault="007B76E0" w:rsidP="008F5C69">
            <w:pPr>
              <w:rPr>
                <w:i/>
                <w:iCs/>
                <w:lang w:eastAsia="en-AU"/>
              </w:rPr>
            </w:pPr>
            <w:r w:rsidRPr="00101EE1">
              <w:rPr>
                <w:i/>
                <w:iCs/>
                <w:lang w:eastAsia="en-AU"/>
              </w:rPr>
              <w:t>Option 1C: Require all partners of multidisciplinary firms to meet ‘fit and proper person’ requirements to maintain audit firm registration</w:t>
            </w:r>
          </w:p>
          <w:p w14:paraId="735AC161" w14:textId="77777777" w:rsidR="007B76E0" w:rsidRPr="00101EE1" w:rsidRDefault="007B76E0" w:rsidP="008F5C69">
            <w:pPr>
              <w:rPr>
                <w:i/>
                <w:iCs/>
                <w:lang w:eastAsia="en-AU"/>
              </w:rPr>
            </w:pPr>
          </w:p>
        </w:tc>
        <w:tc>
          <w:tcPr>
            <w:tcW w:w="4508" w:type="dxa"/>
          </w:tcPr>
          <w:p w14:paraId="7BB9A46A" w14:textId="77777777" w:rsidR="007B76E0" w:rsidRDefault="007B76E0" w:rsidP="008F5C69">
            <w:pPr>
              <w:rPr>
                <w:lang w:eastAsia="en-AU"/>
              </w:rPr>
            </w:pPr>
            <w:r>
              <w:rPr>
                <w:lang w:eastAsia="en-AU"/>
              </w:rPr>
              <w:t>Do not support</w:t>
            </w:r>
          </w:p>
        </w:tc>
      </w:tr>
      <w:tr w:rsidR="007B76E0" w14:paraId="6F6BE69A" w14:textId="77777777" w:rsidTr="008F5C69">
        <w:tc>
          <w:tcPr>
            <w:tcW w:w="4508" w:type="dxa"/>
          </w:tcPr>
          <w:p w14:paraId="5F9DB0BA" w14:textId="77777777" w:rsidR="007B76E0" w:rsidRDefault="007B76E0" w:rsidP="007B76E0">
            <w:pPr>
              <w:rPr>
                <w:i/>
                <w:iCs/>
                <w:lang w:eastAsia="en-AU"/>
              </w:rPr>
            </w:pPr>
            <w:r w:rsidRPr="0050003D">
              <w:rPr>
                <w:i/>
                <w:iCs/>
                <w:lang w:eastAsia="en-AU"/>
              </w:rPr>
              <w:t>Option 2A: Prohibit reporting entities from engaging their auditor for non-audit services</w:t>
            </w:r>
          </w:p>
          <w:p w14:paraId="70323A75" w14:textId="77777777" w:rsidR="007B76E0" w:rsidRPr="00101EE1" w:rsidRDefault="007B76E0" w:rsidP="007B76E0">
            <w:pPr>
              <w:rPr>
                <w:i/>
                <w:iCs/>
                <w:lang w:eastAsia="en-AU"/>
              </w:rPr>
            </w:pPr>
          </w:p>
        </w:tc>
        <w:tc>
          <w:tcPr>
            <w:tcW w:w="4508" w:type="dxa"/>
          </w:tcPr>
          <w:p w14:paraId="51F998E8" w14:textId="3F91ADC1" w:rsidR="007B76E0" w:rsidRDefault="007B76E0" w:rsidP="007B76E0">
            <w:pPr>
              <w:rPr>
                <w:lang w:eastAsia="en-AU"/>
              </w:rPr>
            </w:pPr>
            <w:r>
              <w:rPr>
                <w:lang w:eastAsia="en-AU"/>
              </w:rPr>
              <w:t>Do not support</w:t>
            </w:r>
          </w:p>
        </w:tc>
      </w:tr>
      <w:tr w:rsidR="007B76E0" w14:paraId="5BFC1386" w14:textId="77777777" w:rsidTr="008F5C69">
        <w:tc>
          <w:tcPr>
            <w:tcW w:w="4508" w:type="dxa"/>
          </w:tcPr>
          <w:p w14:paraId="52C3AB51" w14:textId="77777777" w:rsidR="007B76E0" w:rsidRDefault="007B76E0" w:rsidP="007B76E0">
            <w:pPr>
              <w:rPr>
                <w:i/>
                <w:iCs/>
                <w:lang w:eastAsia="en-AU"/>
              </w:rPr>
            </w:pPr>
            <w:r w:rsidRPr="0050003D">
              <w:rPr>
                <w:i/>
                <w:iCs/>
                <w:lang w:eastAsia="en-AU"/>
              </w:rPr>
              <w:t>Option 2B: Achieve operational separation within existing structures</w:t>
            </w:r>
          </w:p>
          <w:p w14:paraId="07B84E8F" w14:textId="77777777" w:rsidR="007B76E0" w:rsidRPr="00101EE1" w:rsidRDefault="007B76E0" w:rsidP="007B76E0">
            <w:pPr>
              <w:rPr>
                <w:i/>
                <w:iCs/>
                <w:lang w:eastAsia="en-AU"/>
              </w:rPr>
            </w:pPr>
          </w:p>
        </w:tc>
        <w:tc>
          <w:tcPr>
            <w:tcW w:w="4508" w:type="dxa"/>
          </w:tcPr>
          <w:p w14:paraId="44AA7FF8" w14:textId="379012F9" w:rsidR="007B76E0" w:rsidRDefault="007B76E0" w:rsidP="007B76E0">
            <w:pPr>
              <w:rPr>
                <w:lang w:eastAsia="en-AU"/>
              </w:rPr>
            </w:pPr>
            <w:r>
              <w:rPr>
                <w:lang w:eastAsia="en-AU"/>
              </w:rPr>
              <w:t xml:space="preserve">Do not support </w:t>
            </w:r>
          </w:p>
        </w:tc>
      </w:tr>
      <w:tr w:rsidR="007B76E0" w14:paraId="74ECA747" w14:textId="77777777" w:rsidTr="008F5C69">
        <w:tc>
          <w:tcPr>
            <w:tcW w:w="4508" w:type="dxa"/>
          </w:tcPr>
          <w:p w14:paraId="2D34BE6A" w14:textId="77777777" w:rsidR="007B76E0" w:rsidRDefault="007B76E0" w:rsidP="007B76E0">
            <w:pPr>
              <w:rPr>
                <w:i/>
                <w:iCs/>
                <w:lang w:eastAsia="en-AU"/>
              </w:rPr>
            </w:pPr>
            <w:r w:rsidRPr="0050003D">
              <w:rPr>
                <w:i/>
                <w:iCs/>
                <w:lang w:eastAsia="en-AU"/>
              </w:rPr>
              <w:t>Option 2C: Mandate structural separation</w:t>
            </w:r>
          </w:p>
          <w:p w14:paraId="154C91E8" w14:textId="77777777" w:rsidR="007B76E0" w:rsidRPr="00101EE1" w:rsidRDefault="007B76E0" w:rsidP="007B76E0">
            <w:pPr>
              <w:rPr>
                <w:i/>
                <w:iCs/>
                <w:lang w:eastAsia="en-AU"/>
              </w:rPr>
            </w:pPr>
          </w:p>
        </w:tc>
        <w:tc>
          <w:tcPr>
            <w:tcW w:w="4508" w:type="dxa"/>
          </w:tcPr>
          <w:p w14:paraId="35861BFE" w14:textId="5B79A7D2" w:rsidR="007B76E0" w:rsidRDefault="007B76E0" w:rsidP="007B76E0">
            <w:pPr>
              <w:rPr>
                <w:lang w:eastAsia="en-AU"/>
              </w:rPr>
            </w:pPr>
            <w:r>
              <w:rPr>
                <w:lang w:eastAsia="en-AU"/>
              </w:rPr>
              <w:t xml:space="preserve">Do not support </w:t>
            </w:r>
          </w:p>
        </w:tc>
      </w:tr>
      <w:tr w:rsidR="007B76E0" w14:paraId="54186D32" w14:textId="77777777" w:rsidTr="008F5C69">
        <w:tc>
          <w:tcPr>
            <w:tcW w:w="4508" w:type="dxa"/>
          </w:tcPr>
          <w:p w14:paraId="65280FC9" w14:textId="77777777" w:rsidR="007B76E0" w:rsidRDefault="007B76E0" w:rsidP="007B76E0">
            <w:pPr>
              <w:rPr>
                <w:i/>
                <w:iCs/>
                <w:lang w:eastAsia="en-AU"/>
              </w:rPr>
            </w:pPr>
            <w:r w:rsidRPr="0050003D">
              <w:rPr>
                <w:i/>
                <w:iCs/>
                <w:lang w:eastAsia="en-AU"/>
              </w:rPr>
              <w:t>Option 2D: Broader reform</w:t>
            </w:r>
          </w:p>
          <w:p w14:paraId="6D5FF0E8" w14:textId="77777777" w:rsidR="007B76E0" w:rsidRPr="00101EE1" w:rsidRDefault="007B76E0" w:rsidP="007B76E0">
            <w:pPr>
              <w:rPr>
                <w:i/>
                <w:iCs/>
                <w:lang w:eastAsia="en-AU"/>
              </w:rPr>
            </w:pPr>
          </w:p>
        </w:tc>
        <w:tc>
          <w:tcPr>
            <w:tcW w:w="4508" w:type="dxa"/>
          </w:tcPr>
          <w:p w14:paraId="14A9E08E" w14:textId="4CF26C75" w:rsidR="007B76E0" w:rsidRDefault="007B76E0" w:rsidP="007B76E0">
            <w:pPr>
              <w:rPr>
                <w:lang w:eastAsia="en-AU"/>
              </w:rPr>
            </w:pPr>
            <w:r>
              <w:rPr>
                <w:lang w:eastAsia="en-AU"/>
              </w:rPr>
              <w:t xml:space="preserve">Do not support </w:t>
            </w:r>
          </w:p>
        </w:tc>
      </w:tr>
      <w:tr w:rsidR="007B76E0" w14:paraId="0E137B93" w14:textId="77777777" w:rsidTr="008F5C69">
        <w:tc>
          <w:tcPr>
            <w:tcW w:w="4508" w:type="dxa"/>
          </w:tcPr>
          <w:p w14:paraId="1D3317F8" w14:textId="77777777" w:rsidR="007B76E0" w:rsidRDefault="007B76E0" w:rsidP="007B76E0">
            <w:pPr>
              <w:rPr>
                <w:i/>
                <w:iCs/>
                <w:lang w:eastAsia="en-AU"/>
              </w:rPr>
            </w:pPr>
            <w:r w:rsidRPr="0098172C">
              <w:rPr>
                <w:i/>
                <w:iCs/>
                <w:lang w:eastAsia="en-AU"/>
              </w:rPr>
              <w:t>Option 3A: Impose new governance requirements on large audit firms</w:t>
            </w:r>
          </w:p>
          <w:p w14:paraId="4225FE36" w14:textId="77777777" w:rsidR="007B76E0" w:rsidRPr="0050003D" w:rsidRDefault="007B76E0" w:rsidP="007B76E0">
            <w:pPr>
              <w:rPr>
                <w:i/>
                <w:iCs/>
                <w:lang w:eastAsia="en-AU"/>
              </w:rPr>
            </w:pPr>
          </w:p>
        </w:tc>
        <w:tc>
          <w:tcPr>
            <w:tcW w:w="4508" w:type="dxa"/>
          </w:tcPr>
          <w:p w14:paraId="4696464B" w14:textId="4C2B41C9" w:rsidR="007B76E0" w:rsidRDefault="007B76E0" w:rsidP="007B76E0">
            <w:pPr>
              <w:rPr>
                <w:lang w:eastAsia="en-AU"/>
              </w:rPr>
            </w:pPr>
            <w:r>
              <w:rPr>
                <w:lang w:eastAsia="en-AU"/>
              </w:rPr>
              <w:t>Do not support</w:t>
            </w:r>
          </w:p>
        </w:tc>
      </w:tr>
      <w:tr w:rsidR="007B76E0" w14:paraId="5B632141" w14:textId="77777777" w:rsidTr="008F5C69">
        <w:tc>
          <w:tcPr>
            <w:tcW w:w="4508" w:type="dxa"/>
          </w:tcPr>
          <w:p w14:paraId="32879ACE" w14:textId="77777777" w:rsidR="007B76E0" w:rsidRDefault="007B76E0" w:rsidP="007B76E0">
            <w:pPr>
              <w:rPr>
                <w:i/>
                <w:iCs/>
                <w:lang w:eastAsia="en-AU"/>
              </w:rPr>
            </w:pPr>
            <w:r w:rsidRPr="0098172C">
              <w:rPr>
                <w:i/>
                <w:iCs/>
                <w:lang w:eastAsia="en-AU"/>
              </w:rPr>
              <w:t>Option 3B: Reduce the partnership limit for accounting firms and require a percentage of partners to be registered to deliver regulated services</w:t>
            </w:r>
          </w:p>
          <w:p w14:paraId="72CE3B47" w14:textId="77777777" w:rsidR="007B76E0" w:rsidRPr="0050003D" w:rsidRDefault="007B76E0" w:rsidP="007B76E0">
            <w:pPr>
              <w:rPr>
                <w:i/>
                <w:iCs/>
                <w:lang w:eastAsia="en-AU"/>
              </w:rPr>
            </w:pPr>
          </w:p>
        </w:tc>
        <w:tc>
          <w:tcPr>
            <w:tcW w:w="4508" w:type="dxa"/>
          </w:tcPr>
          <w:p w14:paraId="6CC4F7CB" w14:textId="174AA210" w:rsidR="007B76E0" w:rsidRDefault="007B76E0" w:rsidP="007B76E0">
            <w:pPr>
              <w:rPr>
                <w:lang w:eastAsia="en-AU"/>
              </w:rPr>
            </w:pPr>
            <w:r>
              <w:rPr>
                <w:lang w:eastAsia="en-AU"/>
              </w:rPr>
              <w:t xml:space="preserve">Do not support </w:t>
            </w:r>
          </w:p>
        </w:tc>
      </w:tr>
      <w:tr w:rsidR="00784C71" w14:paraId="7D307272" w14:textId="77777777" w:rsidTr="008F5C69">
        <w:tc>
          <w:tcPr>
            <w:tcW w:w="4508" w:type="dxa"/>
          </w:tcPr>
          <w:p w14:paraId="3B19A6B4" w14:textId="77777777" w:rsidR="00784C71" w:rsidRDefault="00784C71" w:rsidP="00784C71">
            <w:pPr>
              <w:rPr>
                <w:i/>
                <w:iCs/>
                <w:lang w:eastAsia="en-AU"/>
              </w:rPr>
            </w:pPr>
            <w:r w:rsidRPr="00784C71">
              <w:rPr>
                <w:i/>
                <w:iCs/>
                <w:lang w:eastAsia="en-AU"/>
              </w:rPr>
              <w:t>Option 3C: Require reporting entities to obtain audit services only from an authorised audit company</w:t>
            </w:r>
          </w:p>
          <w:p w14:paraId="077270D5" w14:textId="77777777" w:rsidR="00784C71" w:rsidRPr="0050003D" w:rsidRDefault="00784C71" w:rsidP="00784C71">
            <w:pPr>
              <w:rPr>
                <w:i/>
                <w:iCs/>
                <w:lang w:eastAsia="en-AU"/>
              </w:rPr>
            </w:pPr>
          </w:p>
        </w:tc>
        <w:tc>
          <w:tcPr>
            <w:tcW w:w="4508" w:type="dxa"/>
          </w:tcPr>
          <w:p w14:paraId="4C5F403E" w14:textId="125FC84F" w:rsidR="00784C71" w:rsidRDefault="00784C71" w:rsidP="00784C71">
            <w:pPr>
              <w:rPr>
                <w:lang w:eastAsia="en-AU"/>
              </w:rPr>
            </w:pPr>
            <w:r>
              <w:rPr>
                <w:lang w:eastAsia="en-AU"/>
              </w:rPr>
              <w:t xml:space="preserve">Do not support </w:t>
            </w:r>
          </w:p>
        </w:tc>
      </w:tr>
      <w:tr w:rsidR="00784C71" w14:paraId="52C4EDEB" w14:textId="77777777" w:rsidTr="008F5C69">
        <w:tc>
          <w:tcPr>
            <w:tcW w:w="4508" w:type="dxa"/>
          </w:tcPr>
          <w:p w14:paraId="3DB135AF" w14:textId="77777777" w:rsidR="00784C71" w:rsidRDefault="00784C71" w:rsidP="00784C71">
            <w:pPr>
              <w:rPr>
                <w:i/>
                <w:iCs/>
                <w:lang w:eastAsia="en-AU"/>
              </w:rPr>
            </w:pPr>
            <w:r w:rsidRPr="00776006">
              <w:rPr>
                <w:i/>
                <w:iCs/>
                <w:lang w:eastAsia="en-AU"/>
              </w:rPr>
              <w:t xml:space="preserve">Option 4: Mandate the frequency of audit reviews, increase the level of surveillance, and publish findings </w:t>
            </w:r>
          </w:p>
          <w:p w14:paraId="173F7F48" w14:textId="77777777" w:rsidR="00784C71" w:rsidRPr="0050003D" w:rsidRDefault="00784C71" w:rsidP="00784C71">
            <w:pPr>
              <w:rPr>
                <w:i/>
                <w:iCs/>
                <w:lang w:eastAsia="en-AU"/>
              </w:rPr>
            </w:pPr>
          </w:p>
        </w:tc>
        <w:tc>
          <w:tcPr>
            <w:tcW w:w="4508" w:type="dxa"/>
          </w:tcPr>
          <w:p w14:paraId="7A02A6C6" w14:textId="52654713" w:rsidR="00784C71" w:rsidRDefault="00784C71" w:rsidP="00784C71">
            <w:pPr>
              <w:rPr>
                <w:lang w:eastAsia="en-AU"/>
              </w:rPr>
            </w:pPr>
            <w:r>
              <w:rPr>
                <w:lang w:eastAsia="en-AU"/>
              </w:rPr>
              <w:t>Support in principle</w:t>
            </w:r>
          </w:p>
        </w:tc>
      </w:tr>
      <w:tr w:rsidR="00784C71" w14:paraId="68494851" w14:textId="77777777" w:rsidTr="008F5C69">
        <w:tc>
          <w:tcPr>
            <w:tcW w:w="4508" w:type="dxa"/>
          </w:tcPr>
          <w:p w14:paraId="6F771F83" w14:textId="77777777" w:rsidR="00784C71" w:rsidRDefault="00784C71" w:rsidP="00784C71">
            <w:pPr>
              <w:rPr>
                <w:i/>
                <w:iCs/>
                <w:lang w:eastAsia="en-AU"/>
              </w:rPr>
            </w:pPr>
            <w:r w:rsidRPr="000F2BAC">
              <w:rPr>
                <w:i/>
                <w:iCs/>
                <w:lang w:eastAsia="en-AU"/>
              </w:rPr>
              <w:lastRenderedPageBreak/>
              <w:t>Option 5A: Introduce civil penalties for contraventions of auditor requirements</w:t>
            </w:r>
          </w:p>
          <w:p w14:paraId="3263C81C" w14:textId="77777777" w:rsidR="00784C71" w:rsidRPr="00776006" w:rsidRDefault="00784C71" w:rsidP="00784C71">
            <w:pPr>
              <w:rPr>
                <w:i/>
                <w:iCs/>
                <w:lang w:eastAsia="en-AU"/>
              </w:rPr>
            </w:pPr>
          </w:p>
        </w:tc>
        <w:tc>
          <w:tcPr>
            <w:tcW w:w="4508" w:type="dxa"/>
          </w:tcPr>
          <w:p w14:paraId="265B7468" w14:textId="77777777" w:rsidR="00F31C6D" w:rsidRDefault="00842FF2" w:rsidP="00866562">
            <w:r w:rsidRPr="00802AC3">
              <w:t>Support, with proportionate penalties applying to individuals, AACs and registered audit firms</w:t>
            </w:r>
            <w:r w:rsidR="00802AC3" w:rsidRPr="00802AC3">
              <w:t>,</w:t>
            </w:r>
            <w:r w:rsidRPr="00802AC3">
              <w:t xml:space="preserve"> as supported in </w:t>
            </w:r>
            <w:r w:rsidR="00802AC3" w:rsidRPr="00802AC3">
              <w:t xml:space="preserve">Option </w:t>
            </w:r>
            <w:r w:rsidRPr="00802AC3">
              <w:t>1A</w:t>
            </w:r>
            <w:r w:rsidR="00802AC3" w:rsidRPr="00802AC3">
              <w:t>.</w:t>
            </w:r>
          </w:p>
          <w:p w14:paraId="3900A1BB" w14:textId="77777777" w:rsidR="00784C71" w:rsidRDefault="00784C71" w:rsidP="00784C71">
            <w:pPr>
              <w:rPr>
                <w:lang w:eastAsia="en-AU"/>
              </w:rPr>
            </w:pPr>
          </w:p>
        </w:tc>
      </w:tr>
      <w:tr w:rsidR="00784C71" w14:paraId="68EEE700" w14:textId="77777777" w:rsidTr="008F5C69">
        <w:tc>
          <w:tcPr>
            <w:tcW w:w="4508" w:type="dxa"/>
          </w:tcPr>
          <w:p w14:paraId="611A6252" w14:textId="77777777" w:rsidR="00784C71" w:rsidRDefault="00784C71" w:rsidP="00784C71">
            <w:pPr>
              <w:rPr>
                <w:i/>
                <w:iCs/>
                <w:lang w:eastAsia="en-AU"/>
              </w:rPr>
            </w:pPr>
            <w:r w:rsidRPr="000F2BAC">
              <w:rPr>
                <w:i/>
                <w:iCs/>
                <w:lang w:eastAsia="en-AU"/>
              </w:rPr>
              <w:t>Option 5B: Enhance administrative powers of ASIC</w:t>
            </w:r>
          </w:p>
          <w:p w14:paraId="6AE7341C" w14:textId="77777777" w:rsidR="00784C71" w:rsidRPr="00776006" w:rsidRDefault="00784C71" w:rsidP="00784C71">
            <w:pPr>
              <w:rPr>
                <w:i/>
                <w:iCs/>
                <w:lang w:eastAsia="en-AU"/>
              </w:rPr>
            </w:pPr>
          </w:p>
        </w:tc>
        <w:tc>
          <w:tcPr>
            <w:tcW w:w="4508" w:type="dxa"/>
          </w:tcPr>
          <w:p w14:paraId="42C70A9C" w14:textId="4C3ADE39" w:rsidR="00784C71" w:rsidRDefault="00784C71" w:rsidP="00784C71">
            <w:pPr>
              <w:rPr>
                <w:lang w:eastAsia="en-AU"/>
              </w:rPr>
            </w:pPr>
            <w:r>
              <w:rPr>
                <w:lang w:eastAsia="en-AU"/>
              </w:rPr>
              <w:t>Support</w:t>
            </w:r>
          </w:p>
        </w:tc>
      </w:tr>
      <w:tr w:rsidR="00784C71" w14:paraId="2864E52F" w14:textId="77777777" w:rsidTr="008F5C69">
        <w:tc>
          <w:tcPr>
            <w:tcW w:w="4508" w:type="dxa"/>
          </w:tcPr>
          <w:p w14:paraId="096C02E8" w14:textId="77777777" w:rsidR="00784C71" w:rsidRDefault="00784C71" w:rsidP="00784C71">
            <w:pPr>
              <w:rPr>
                <w:i/>
                <w:iCs/>
                <w:lang w:eastAsia="en-AU"/>
              </w:rPr>
            </w:pPr>
            <w:r w:rsidRPr="000F2BAC">
              <w:rPr>
                <w:i/>
                <w:iCs/>
                <w:lang w:eastAsia="en-AU"/>
              </w:rPr>
              <w:t>Option 5C: Improve CADB’s disciplinary capability</w:t>
            </w:r>
          </w:p>
          <w:p w14:paraId="30D2BE8C" w14:textId="77777777" w:rsidR="00784C71" w:rsidRPr="00776006" w:rsidRDefault="00784C71" w:rsidP="00784C71">
            <w:pPr>
              <w:rPr>
                <w:i/>
                <w:iCs/>
                <w:lang w:eastAsia="en-AU"/>
              </w:rPr>
            </w:pPr>
          </w:p>
        </w:tc>
        <w:tc>
          <w:tcPr>
            <w:tcW w:w="4508" w:type="dxa"/>
          </w:tcPr>
          <w:p w14:paraId="1FE4D24F" w14:textId="0FB83BBA" w:rsidR="00784C71" w:rsidRDefault="00784C71" w:rsidP="00784C71">
            <w:pPr>
              <w:rPr>
                <w:lang w:eastAsia="en-AU"/>
              </w:rPr>
            </w:pPr>
            <w:r>
              <w:rPr>
                <w:lang w:eastAsia="en-AU"/>
              </w:rPr>
              <w:t>Support</w:t>
            </w:r>
          </w:p>
        </w:tc>
      </w:tr>
      <w:tr w:rsidR="00784C71" w14:paraId="24CBA24D" w14:textId="77777777" w:rsidTr="008F5C69">
        <w:tc>
          <w:tcPr>
            <w:tcW w:w="4508" w:type="dxa"/>
          </w:tcPr>
          <w:p w14:paraId="6683D5F9" w14:textId="77777777" w:rsidR="00784C71" w:rsidRDefault="00784C71" w:rsidP="00784C71">
            <w:pPr>
              <w:rPr>
                <w:i/>
                <w:iCs/>
                <w:lang w:eastAsia="en-AU"/>
              </w:rPr>
            </w:pPr>
            <w:r w:rsidRPr="00F31C6D">
              <w:rPr>
                <w:i/>
                <w:iCs/>
                <w:lang w:eastAsia="en-AU"/>
              </w:rPr>
              <w:t>Option 6A: Additional reporting obligations for reporting entities regarding auditor tenure</w:t>
            </w:r>
          </w:p>
          <w:p w14:paraId="4FAAA682" w14:textId="77777777" w:rsidR="00784C71" w:rsidRPr="00776006" w:rsidRDefault="00784C71" w:rsidP="00784C71">
            <w:pPr>
              <w:rPr>
                <w:i/>
                <w:iCs/>
                <w:lang w:eastAsia="en-AU"/>
              </w:rPr>
            </w:pPr>
          </w:p>
        </w:tc>
        <w:tc>
          <w:tcPr>
            <w:tcW w:w="4508" w:type="dxa"/>
          </w:tcPr>
          <w:p w14:paraId="60C29B45" w14:textId="6AB4A3DF" w:rsidR="00784C71" w:rsidRDefault="00784C71" w:rsidP="00784C71">
            <w:pPr>
              <w:rPr>
                <w:lang w:eastAsia="en-AU"/>
              </w:rPr>
            </w:pPr>
            <w:r>
              <w:rPr>
                <w:lang w:eastAsia="en-AU"/>
              </w:rPr>
              <w:t xml:space="preserve">Support </w:t>
            </w:r>
          </w:p>
        </w:tc>
      </w:tr>
      <w:tr w:rsidR="00784C71" w14:paraId="06B9B4D9" w14:textId="77777777" w:rsidTr="008F5C69">
        <w:tc>
          <w:tcPr>
            <w:tcW w:w="4508" w:type="dxa"/>
          </w:tcPr>
          <w:p w14:paraId="2EFF89DD" w14:textId="77777777" w:rsidR="00784C71" w:rsidRDefault="00784C71" w:rsidP="00784C71">
            <w:pPr>
              <w:rPr>
                <w:i/>
                <w:iCs/>
                <w:lang w:eastAsia="en-AU"/>
              </w:rPr>
            </w:pPr>
            <w:r w:rsidRPr="00F31C6D">
              <w:rPr>
                <w:i/>
                <w:iCs/>
                <w:lang w:eastAsia="en-AU"/>
              </w:rPr>
              <w:t>Option 6B: Mandatory periodic tendering for audit services</w:t>
            </w:r>
          </w:p>
          <w:p w14:paraId="401FC834" w14:textId="77777777" w:rsidR="00784C71" w:rsidRPr="00776006" w:rsidRDefault="00784C71" w:rsidP="00784C71">
            <w:pPr>
              <w:rPr>
                <w:i/>
                <w:iCs/>
                <w:lang w:eastAsia="en-AU"/>
              </w:rPr>
            </w:pPr>
          </w:p>
        </w:tc>
        <w:tc>
          <w:tcPr>
            <w:tcW w:w="4508" w:type="dxa"/>
          </w:tcPr>
          <w:p w14:paraId="1E50397A" w14:textId="1C58B3B0" w:rsidR="00784C71" w:rsidRDefault="00784C71" w:rsidP="00784C71">
            <w:pPr>
              <w:rPr>
                <w:lang w:eastAsia="en-AU"/>
              </w:rPr>
            </w:pPr>
            <w:r>
              <w:rPr>
                <w:lang w:eastAsia="en-AU"/>
              </w:rPr>
              <w:t xml:space="preserve">Support </w:t>
            </w:r>
          </w:p>
        </w:tc>
      </w:tr>
      <w:tr w:rsidR="00784C71" w14:paraId="356CF9CA" w14:textId="77777777" w:rsidTr="008F5C69">
        <w:tc>
          <w:tcPr>
            <w:tcW w:w="4508" w:type="dxa"/>
          </w:tcPr>
          <w:p w14:paraId="11F21698" w14:textId="77777777" w:rsidR="00784C71" w:rsidRDefault="00784C71" w:rsidP="00784C71">
            <w:pPr>
              <w:rPr>
                <w:i/>
                <w:iCs/>
                <w:lang w:eastAsia="en-AU"/>
              </w:rPr>
            </w:pPr>
            <w:r w:rsidRPr="00F31C6D">
              <w:rPr>
                <w:i/>
                <w:iCs/>
                <w:lang w:eastAsia="en-AU"/>
              </w:rPr>
              <w:t>Option 6C: Mandatory audit firm rotation</w:t>
            </w:r>
          </w:p>
          <w:p w14:paraId="068BD173" w14:textId="77777777" w:rsidR="00784C71" w:rsidRPr="00776006" w:rsidRDefault="00784C71" w:rsidP="00784C71">
            <w:pPr>
              <w:rPr>
                <w:i/>
                <w:iCs/>
                <w:lang w:eastAsia="en-AU"/>
              </w:rPr>
            </w:pPr>
          </w:p>
        </w:tc>
        <w:tc>
          <w:tcPr>
            <w:tcW w:w="4508" w:type="dxa"/>
          </w:tcPr>
          <w:p w14:paraId="3CEEEFA9" w14:textId="0F598CC7" w:rsidR="00784C71" w:rsidRDefault="00784C71" w:rsidP="00784C71">
            <w:pPr>
              <w:rPr>
                <w:lang w:eastAsia="en-AU"/>
              </w:rPr>
            </w:pPr>
            <w:r>
              <w:rPr>
                <w:lang w:eastAsia="en-AU"/>
              </w:rPr>
              <w:t xml:space="preserve">Do not support </w:t>
            </w:r>
          </w:p>
        </w:tc>
      </w:tr>
    </w:tbl>
    <w:p w14:paraId="10A21EDD" w14:textId="77777777" w:rsidR="007B76E0" w:rsidRDefault="007B76E0" w:rsidP="007B76E0"/>
    <w:p w14:paraId="6B8EEB20" w14:textId="77777777" w:rsidR="007B76E0" w:rsidRPr="007B76E0" w:rsidRDefault="007B76E0" w:rsidP="007B76E0"/>
    <w:p w14:paraId="097E92A9" w14:textId="77777777" w:rsidR="00EF3F89" w:rsidRDefault="00EF3F89" w:rsidP="00EF3F89">
      <w:pPr>
        <w:tabs>
          <w:tab w:val="left" w:pos="938"/>
        </w:tabs>
        <w:contextualSpacing/>
        <w:rPr>
          <w:b/>
          <w:bCs/>
        </w:rPr>
      </w:pPr>
    </w:p>
    <w:p w14:paraId="724EFE32" w14:textId="4C5B7DA0" w:rsidR="007B76E0" w:rsidRDefault="007B76E0">
      <w:pPr>
        <w:spacing w:after="160" w:line="259" w:lineRule="auto"/>
        <w:rPr>
          <w:b/>
          <w:bCs/>
        </w:rPr>
      </w:pPr>
      <w:r>
        <w:rPr>
          <w:b/>
          <w:bCs/>
        </w:rPr>
        <w:br w:type="page"/>
      </w:r>
    </w:p>
    <w:p w14:paraId="412A0CBC" w14:textId="248F49EF" w:rsidR="006574BB" w:rsidRDefault="006574BB" w:rsidP="006574BB">
      <w:pPr>
        <w:tabs>
          <w:tab w:val="left" w:pos="938"/>
        </w:tabs>
        <w:contextualSpacing/>
        <w:jc w:val="right"/>
        <w:rPr>
          <w:b/>
          <w:bCs/>
        </w:rPr>
      </w:pPr>
      <w:r w:rsidRPr="00557B1B">
        <w:rPr>
          <w:b/>
          <w:bCs/>
        </w:rPr>
        <w:lastRenderedPageBreak/>
        <w:t>ATTACHMENT</w:t>
      </w:r>
      <w:r>
        <w:rPr>
          <w:b/>
          <w:bCs/>
        </w:rPr>
        <w:t xml:space="preserve"> 2 </w:t>
      </w:r>
    </w:p>
    <w:p w14:paraId="3D9406A1" w14:textId="78CCC290" w:rsidR="00E83377" w:rsidRDefault="007C13CC" w:rsidP="007C13CC">
      <w:pPr>
        <w:pStyle w:val="Heading1"/>
      </w:pPr>
      <w:r w:rsidRPr="007C13CC">
        <w:t>1.</w:t>
      </w:r>
      <w:r>
        <w:t xml:space="preserve"> Ensuring accountability within the audit sector </w:t>
      </w:r>
    </w:p>
    <w:p w14:paraId="684FC5F1" w14:textId="77777777" w:rsidR="0039275C" w:rsidRDefault="0039275C" w:rsidP="004202F7">
      <w:pPr>
        <w:rPr>
          <w:lang w:eastAsia="en-AU"/>
        </w:rPr>
      </w:pPr>
    </w:p>
    <w:tbl>
      <w:tblPr>
        <w:tblStyle w:val="TableGrid"/>
        <w:tblW w:w="0" w:type="auto"/>
        <w:tblLook w:val="04A0" w:firstRow="1" w:lastRow="0" w:firstColumn="1" w:lastColumn="0" w:noHBand="0" w:noVBand="1"/>
      </w:tblPr>
      <w:tblGrid>
        <w:gridCol w:w="4508"/>
        <w:gridCol w:w="4508"/>
      </w:tblGrid>
      <w:tr w:rsidR="0039275C" w14:paraId="1FE73432" w14:textId="77777777" w:rsidTr="0039275C">
        <w:tc>
          <w:tcPr>
            <w:tcW w:w="4508" w:type="dxa"/>
          </w:tcPr>
          <w:p w14:paraId="383AE05B" w14:textId="174C9B0E" w:rsidR="0039275C" w:rsidRPr="00897692" w:rsidRDefault="00A620A7" w:rsidP="00A620A7">
            <w:pPr>
              <w:pStyle w:val="Heading3"/>
              <w:rPr>
                <w:lang w:eastAsia="en-AU"/>
              </w:rPr>
            </w:pPr>
            <w:r w:rsidRPr="00A620A7">
              <w:t>Option</w:t>
            </w:r>
          </w:p>
        </w:tc>
        <w:tc>
          <w:tcPr>
            <w:tcW w:w="4508" w:type="dxa"/>
          </w:tcPr>
          <w:p w14:paraId="45BDDD7F" w14:textId="6F48307D" w:rsidR="0039275C" w:rsidRPr="00897692" w:rsidRDefault="00842FF2" w:rsidP="009D59FD">
            <w:pPr>
              <w:pStyle w:val="Heading3"/>
              <w:rPr>
                <w:lang w:eastAsia="en-AU"/>
              </w:rPr>
            </w:pPr>
            <w:r w:rsidRPr="00897692">
              <w:rPr>
                <w:lang w:eastAsia="en-AU"/>
              </w:rPr>
              <w:t xml:space="preserve">SMSF Association </w:t>
            </w:r>
            <w:r w:rsidR="009D59FD" w:rsidRPr="009D59FD">
              <w:t>response</w:t>
            </w:r>
          </w:p>
        </w:tc>
      </w:tr>
      <w:tr w:rsidR="0039275C" w14:paraId="48FCEB6C" w14:textId="77777777" w:rsidTr="0039275C">
        <w:tc>
          <w:tcPr>
            <w:tcW w:w="4508" w:type="dxa"/>
          </w:tcPr>
          <w:p w14:paraId="338F322A" w14:textId="77777777" w:rsidR="0039275C" w:rsidRPr="00101EE1" w:rsidRDefault="0039275C" w:rsidP="004202F7">
            <w:pPr>
              <w:rPr>
                <w:i/>
                <w:iCs/>
                <w:lang w:eastAsia="en-AU"/>
              </w:rPr>
            </w:pPr>
            <w:r w:rsidRPr="00101EE1">
              <w:rPr>
                <w:i/>
                <w:iCs/>
                <w:lang w:eastAsia="en-AU"/>
              </w:rPr>
              <w:t>Option 1A: Require reporting entities to obtain audit services only from audit firms licensed by ASIC, with quality management and ethical obligations imposed as ongoing conditions of holding their licence</w:t>
            </w:r>
          </w:p>
          <w:p w14:paraId="03CA1A97" w14:textId="433E1819" w:rsidR="00897692" w:rsidRPr="00101EE1" w:rsidRDefault="00897692" w:rsidP="004202F7">
            <w:pPr>
              <w:rPr>
                <w:i/>
                <w:iCs/>
                <w:lang w:eastAsia="en-AU"/>
              </w:rPr>
            </w:pPr>
          </w:p>
        </w:tc>
        <w:tc>
          <w:tcPr>
            <w:tcW w:w="4508" w:type="dxa"/>
          </w:tcPr>
          <w:p w14:paraId="7B6ABDB6" w14:textId="2C0C0EC0" w:rsidR="0039275C" w:rsidRDefault="00453487" w:rsidP="00F21B64">
            <w:pPr>
              <w:rPr>
                <w:lang w:eastAsia="en-AU"/>
              </w:rPr>
            </w:pPr>
            <w:r>
              <w:t>Support f</w:t>
            </w:r>
            <w:r w:rsidRPr="00F21408">
              <w:t xml:space="preserve">irms that provide audit services to reporting entities </w:t>
            </w:r>
            <w:r>
              <w:t>being</w:t>
            </w:r>
            <w:r w:rsidRPr="00F21408">
              <w:t xml:space="preserve"> required to register with an appropriate regulator and comply with firm-wide obligations as </w:t>
            </w:r>
            <w:r>
              <w:t xml:space="preserve">a </w:t>
            </w:r>
            <w:r w:rsidRPr="00F21408">
              <w:t>condition of registration</w:t>
            </w:r>
          </w:p>
        </w:tc>
      </w:tr>
      <w:tr w:rsidR="0039275C" w14:paraId="626038B9" w14:textId="77777777" w:rsidTr="0039275C">
        <w:tc>
          <w:tcPr>
            <w:tcW w:w="4508" w:type="dxa"/>
          </w:tcPr>
          <w:p w14:paraId="01B90EF3" w14:textId="77777777" w:rsidR="0039275C" w:rsidRPr="00101EE1" w:rsidRDefault="0039275C" w:rsidP="004202F7">
            <w:pPr>
              <w:rPr>
                <w:i/>
                <w:iCs/>
                <w:lang w:eastAsia="en-AU"/>
              </w:rPr>
            </w:pPr>
            <w:r w:rsidRPr="00101EE1">
              <w:rPr>
                <w:i/>
                <w:iCs/>
                <w:lang w:eastAsia="en-AU"/>
              </w:rPr>
              <w:t>Option 1B: Require RCAs to comply with professional conduct obligations as an ongoing obligation of registration</w:t>
            </w:r>
          </w:p>
          <w:p w14:paraId="5DDC386E" w14:textId="26E7238D" w:rsidR="00897692" w:rsidRPr="00101EE1" w:rsidRDefault="00897692" w:rsidP="004202F7">
            <w:pPr>
              <w:rPr>
                <w:i/>
                <w:iCs/>
                <w:lang w:eastAsia="en-AU"/>
              </w:rPr>
            </w:pPr>
          </w:p>
        </w:tc>
        <w:tc>
          <w:tcPr>
            <w:tcW w:w="4508" w:type="dxa"/>
          </w:tcPr>
          <w:p w14:paraId="646DC660" w14:textId="74079483" w:rsidR="0039275C" w:rsidRDefault="00D26661" w:rsidP="004202F7">
            <w:pPr>
              <w:rPr>
                <w:lang w:eastAsia="en-AU"/>
              </w:rPr>
            </w:pPr>
            <w:r>
              <w:rPr>
                <w:lang w:eastAsia="en-AU"/>
              </w:rPr>
              <w:t>Do not support</w:t>
            </w:r>
          </w:p>
        </w:tc>
      </w:tr>
      <w:tr w:rsidR="0039275C" w14:paraId="382B412B" w14:textId="77777777" w:rsidTr="0039275C">
        <w:tc>
          <w:tcPr>
            <w:tcW w:w="4508" w:type="dxa"/>
          </w:tcPr>
          <w:p w14:paraId="7EA0BE23" w14:textId="77777777" w:rsidR="0039275C" w:rsidRPr="00101EE1" w:rsidRDefault="0039275C" w:rsidP="004202F7">
            <w:pPr>
              <w:rPr>
                <w:i/>
                <w:iCs/>
                <w:lang w:eastAsia="en-AU"/>
              </w:rPr>
            </w:pPr>
            <w:r w:rsidRPr="00101EE1">
              <w:rPr>
                <w:i/>
                <w:iCs/>
                <w:lang w:eastAsia="en-AU"/>
              </w:rPr>
              <w:t>Option 1C: Require all partners of multidisciplinary firms to meet ‘fit and proper person’ requirements to maintain audit firm registration</w:t>
            </w:r>
          </w:p>
          <w:p w14:paraId="19F851E9" w14:textId="5C9EA328" w:rsidR="00897692" w:rsidRPr="00101EE1" w:rsidRDefault="00897692" w:rsidP="004202F7">
            <w:pPr>
              <w:rPr>
                <w:i/>
                <w:iCs/>
                <w:lang w:eastAsia="en-AU"/>
              </w:rPr>
            </w:pPr>
          </w:p>
        </w:tc>
        <w:tc>
          <w:tcPr>
            <w:tcW w:w="4508" w:type="dxa"/>
          </w:tcPr>
          <w:p w14:paraId="666B29B0" w14:textId="1B10C3EF" w:rsidR="0039275C" w:rsidRDefault="00D26661" w:rsidP="004202F7">
            <w:pPr>
              <w:rPr>
                <w:lang w:eastAsia="en-AU"/>
              </w:rPr>
            </w:pPr>
            <w:r>
              <w:rPr>
                <w:lang w:eastAsia="en-AU"/>
              </w:rPr>
              <w:t>Do not support</w:t>
            </w:r>
          </w:p>
        </w:tc>
      </w:tr>
    </w:tbl>
    <w:p w14:paraId="6E9465B4" w14:textId="77777777" w:rsidR="0039275C" w:rsidRDefault="0039275C" w:rsidP="004202F7">
      <w:pPr>
        <w:rPr>
          <w:lang w:eastAsia="en-AU"/>
        </w:rPr>
      </w:pPr>
    </w:p>
    <w:p w14:paraId="23CD39BB" w14:textId="32B435DC" w:rsidR="0039275C" w:rsidRDefault="006C33AB" w:rsidP="004202F7">
      <w:pPr>
        <w:rPr>
          <w:lang w:eastAsia="en-AU"/>
        </w:rPr>
      </w:pPr>
      <w:r>
        <w:rPr>
          <w:lang w:eastAsia="en-AU"/>
        </w:rPr>
        <w:t xml:space="preserve">While there are quality management and professional obligations that apply to firms that provide audit services, there is a gap in the oversight and enforcement of these obligations </w:t>
      </w:r>
      <w:r w:rsidR="00D137EA">
        <w:rPr>
          <w:lang w:eastAsia="en-AU"/>
        </w:rPr>
        <w:t>that needs to be addressed.</w:t>
      </w:r>
    </w:p>
    <w:p w14:paraId="12BC5A90" w14:textId="77777777" w:rsidR="00171ECF" w:rsidRDefault="00171ECF" w:rsidP="004202F7">
      <w:pPr>
        <w:rPr>
          <w:lang w:eastAsia="en-AU"/>
        </w:rPr>
      </w:pPr>
    </w:p>
    <w:p w14:paraId="22C20FF8" w14:textId="7101837C" w:rsidR="00F31C6D" w:rsidRDefault="00842FF2" w:rsidP="00ED06CE">
      <w:r w:rsidRPr="00CB2706">
        <w:t xml:space="preserve">The most effective and efficient way to address this regulatory gap is to require firms that provide audit services to reporting entities to be registered and </w:t>
      </w:r>
      <w:r w:rsidR="00CB2706" w:rsidRPr="00CB2706">
        <w:t xml:space="preserve">to </w:t>
      </w:r>
      <w:r w:rsidRPr="00CB2706">
        <w:t xml:space="preserve">meet ongoing obligations at a firm level to maintain their registration. </w:t>
      </w:r>
      <w:r w:rsidR="00CB2706" w:rsidRPr="00CB2706">
        <w:t>This should include</w:t>
      </w:r>
      <w:r w:rsidRPr="00CB2706">
        <w:t xml:space="preserve"> all entities, regardless of structure</w:t>
      </w:r>
      <w:r w:rsidR="00CB2706" w:rsidRPr="00CB2706">
        <w:t>,</w:t>
      </w:r>
      <w:r w:rsidRPr="00CB2706">
        <w:t xml:space="preserve"> </w:t>
      </w:r>
      <w:r w:rsidR="003265B7">
        <w:t xml:space="preserve">such as </w:t>
      </w:r>
      <w:r w:rsidRPr="00CB2706">
        <w:t>partnerships and companies.</w:t>
      </w:r>
    </w:p>
    <w:p w14:paraId="52B14CD9" w14:textId="77777777" w:rsidR="00486A4A" w:rsidRDefault="00486A4A" w:rsidP="003B040A">
      <w:pPr>
        <w:rPr>
          <w:lang w:eastAsia="en-AU"/>
        </w:rPr>
      </w:pPr>
    </w:p>
    <w:p w14:paraId="47226C44" w14:textId="15139E26" w:rsidR="00F31C6D" w:rsidRDefault="004401D6" w:rsidP="00C67863">
      <w:r>
        <w:t>However, it</w:t>
      </w:r>
      <w:r w:rsidR="00842FF2" w:rsidRPr="00BB0BCA">
        <w:t xml:space="preserve"> should explicitly exclude AACs</w:t>
      </w:r>
      <w:r w:rsidR="00BB0BCA" w:rsidRPr="00BB0BCA">
        <w:t>, as</w:t>
      </w:r>
      <w:r w:rsidR="00842FF2" w:rsidRPr="00BB0BCA">
        <w:t xml:space="preserve"> these entities are already registered with ASIC and every director of </w:t>
      </w:r>
      <w:r w:rsidR="00BB0BCA" w:rsidRPr="00BB0BCA">
        <w:t>an</w:t>
      </w:r>
      <w:r w:rsidR="00842FF2" w:rsidRPr="00BB0BCA">
        <w:t xml:space="preserve"> AAC must be an RCA.</w:t>
      </w:r>
    </w:p>
    <w:p w14:paraId="34C87D36" w14:textId="77777777" w:rsidR="00655ABB" w:rsidRDefault="00655ABB" w:rsidP="003B040A">
      <w:pPr>
        <w:rPr>
          <w:lang w:eastAsia="en-AU"/>
        </w:rPr>
      </w:pPr>
    </w:p>
    <w:p w14:paraId="3410ED31" w14:textId="3466AD60" w:rsidR="00F31C6D" w:rsidRDefault="00842FF2" w:rsidP="005A5FAE">
      <w:r w:rsidRPr="004328F7">
        <w:t xml:space="preserve">For the avoidance of doubt, it must also exclude SMSF </w:t>
      </w:r>
      <w:r w:rsidR="004328F7" w:rsidRPr="004328F7">
        <w:t>auditors</w:t>
      </w:r>
      <w:r w:rsidR="00713C39">
        <w:t xml:space="preserve"> and firms that only provide SMSF audit services</w:t>
      </w:r>
      <w:r w:rsidR="004328F7" w:rsidRPr="004328F7">
        <w:t>, as</w:t>
      </w:r>
      <w:r w:rsidRPr="004328F7">
        <w:t xml:space="preserve"> they do not audit reporting entities and are </w:t>
      </w:r>
      <w:r w:rsidR="00713C39">
        <w:t xml:space="preserve">already </w:t>
      </w:r>
      <w:r w:rsidRPr="004328F7">
        <w:t xml:space="preserve">subject to ongoing regulatory oversight by the </w:t>
      </w:r>
      <w:r w:rsidR="00905ACC">
        <w:t>ATO</w:t>
      </w:r>
      <w:r w:rsidRPr="004328F7">
        <w:t xml:space="preserve"> and enforcement action by ASIC.</w:t>
      </w:r>
    </w:p>
    <w:p w14:paraId="36B5D7DB" w14:textId="77777777" w:rsidR="00500BE0" w:rsidRDefault="00500BE0" w:rsidP="003B040A">
      <w:pPr>
        <w:rPr>
          <w:lang w:eastAsia="en-AU"/>
        </w:rPr>
      </w:pPr>
    </w:p>
    <w:p w14:paraId="1C128902" w14:textId="58421A36" w:rsidR="00E112AC" w:rsidRDefault="00FF346D" w:rsidP="00905ACC">
      <w:pPr>
        <w:spacing w:after="120"/>
        <w:rPr>
          <w:lang w:eastAsia="en-AU"/>
        </w:rPr>
      </w:pPr>
      <w:r>
        <w:rPr>
          <w:lang w:eastAsia="en-AU"/>
        </w:rPr>
        <w:t>The conditions of registration</w:t>
      </w:r>
      <w:r w:rsidR="0057519E">
        <w:rPr>
          <w:lang w:eastAsia="en-AU"/>
        </w:rPr>
        <w:t xml:space="preserve"> should</w:t>
      </w:r>
      <w:r w:rsidR="00E112AC">
        <w:rPr>
          <w:lang w:eastAsia="en-AU"/>
        </w:rPr>
        <w:t xml:space="preserve"> include:</w:t>
      </w:r>
    </w:p>
    <w:p w14:paraId="4716458B" w14:textId="77777777" w:rsidR="00F31C6D" w:rsidRDefault="00842FF2" w:rsidP="00905ACC">
      <w:pPr>
        <w:pStyle w:val="ListParagraph"/>
        <w:numPr>
          <w:ilvl w:val="0"/>
          <w:numId w:val="37"/>
        </w:numPr>
        <w:spacing w:after="120"/>
        <w:contextualSpacing w:val="0"/>
      </w:pPr>
      <w:r w:rsidRPr="00E85B64">
        <w:t xml:space="preserve">compliance </w:t>
      </w:r>
      <w:r w:rsidR="00E85B64" w:rsidRPr="00E85B64">
        <w:t xml:space="preserve">with </w:t>
      </w:r>
      <w:r w:rsidRPr="00E85B64">
        <w:t>quality management standards</w:t>
      </w:r>
      <w:r w:rsidR="00E85B64" w:rsidRPr="00E85B64">
        <w:t>;</w:t>
      </w:r>
      <w:r w:rsidRPr="00E85B64">
        <w:t xml:space="preserve"> and</w:t>
      </w:r>
    </w:p>
    <w:p w14:paraId="7BB2CE24" w14:textId="77777777" w:rsidR="00F31C6D" w:rsidRDefault="00842FF2" w:rsidP="00B77BA2">
      <w:pPr>
        <w:pStyle w:val="ListParagraph"/>
        <w:numPr>
          <w:ilvl w:val="0"/>
          <w:numId w:val="37"/>
        </w:numPr>
      </w:pPr>
      <w:r w:rsidRPr="00B77BA2">
        <w:t>compliance with independence obligations.</w:t>
      </w:r>
    </w:p>
    <w:p w14:paraId="01BCC5F7" w14:textId="77777777" w:rsidR="00174463" w:rsidRDefault="00174463" w:rsidP="004202F7">
      <w:pPr>
        <w:rPr>
          <w:lang w:eastAsia="en-AU"/>
        </w:rPr>
      </w:pPr>
    </w:p>
    <w:p w14:paraId="6CEF743F" w14:textId="77777777" w:rsidR="00F31C6D" w:rsidRDefault="00842FF2" w:rsidP="00F5510D">
      <w:r w:rsidRPr="00E12282">
        <w:t xml:space="preserve">Importantly, audit and assurance services are provided under an existing global framework and </w:t>
      </w:r>
      <w:r w:rsidR="00E12282" w:rsidRPr="00E12282">
        <w:t xml:space="preserve">set of </w:t>
      </w:r>
      <w:r w:rsidRPr="00E12282">
        <w:t>concepts</w:t>
      </w:r>
      <w:r w:rsidR="00E12282" w:rsidRPr="00E12282">
        <w:t>,</w:t>
      </w:r>
      <w:r w:rsidRPr="00E12282">
        <w:t xml:space="preserve"> unlike other disciplines </w:t>
      </w:r>
      <w:r w:rsidR="00E12282" w:rsidRPr="00E12282">
        <w:t xml:space="preserve">such as </w:t>
      </w:r>
      <w:r w:rsidRPr="00E12282">
        <w:t>taxation</w:t>
      </w:r>
      <w:r w:rsidR="00E12282" w:rsidRPr="00E12282">
        <w:t>, which are</w:t>
      </w:r>
      <w:r w:rsidRPr="00E12282">
        <w:t xml:space="preserve"> built on statutory obligations unique to Australia. As such, we should not reproduce or mirror new quality management and </w:t>
      </w:r>
      <w:r w:rsidRPr="00E12282">
        <w:lastRenderedPageBreak/>
        <w:t>independence frameworks</w:t>
      </w:r>
      <w:r w:rsidR="00E12282" w:rsidRPr="00E12282">
        <w:t>,</w:t>
      </w:r>
      <w:r w:rsidRPr="00E12282">
        <w:t xml:space="preserve"> as this </w:t>
      </w:r>
      <w:r w:rsidR="00E12282" w:rsidRPr="00E12282">
        <w:t>would</w:t>
      </w:r>
      <w:r w:rsidRPr="00E12282">
        <w:t xml:space="preserve"> introduce duplication, complexity and unnecessary compliance costs.</w:t>
      </w:r>
    </w:p>
    <w:p w14:paraId="62BB7E94" w14:textId="77777777" w:rsidR="00780C92" w:rsidRDefault="00780C92" w:rsidP="004202F7">
      <w:pPr>
        <w:rPr>
          <w:lang w:eastAsia="en-AU"/>
        </w:rPr>
      </w:pPr>
    </w:p>
    <w:p w14:paraId="2B33722F" w14:textId="77777777" w:rsidR="00F31C6D" w:rsidRDefault="00842FF2" w:rsidP="004F54B6">
      <w:r w:rsidRPr="000A00F8">
        <w:t xml:space="preserve">Further, many firms that provide audit and assurance services operate both domestically and internationally. Aligning </w:t>
      </w:r>
      <w:r w:rsidR="000A00F8" w:rsidRPr="000A00F8">
        <w:t>with</w:t>
      </w:r>
      <w:r w:rsidRPr="000A00F8">
        <w:t xml:space="preserve"> international standards will avoid duplication and unnecessary costs for these firms and ensure </w:t>
      </w:r>
      <w:r w:rsidR="000A00F8" w:rsidRPr="000A00F8">
        <w:t>they comply</w:t>
      </w:r>
      <w:r w:rsidRPr="000A00F8">
        <w:t xml:space="preserve"> with the same standards as their global </w:t>
      </w:r>
      <w:r w:rsidR="000A00F8" w:rsidRPr="000A00F8">
        <w:t>peers.</w:t>
      </w:r>
    </w:p>
    <w:p w14:paraId="0BDAB5CB" w14:textId="77777777" w:rsidR="00655ABB" w:rsidRDefault="00655ABB" w:rsidP="004202F7">
      <w:pPr>
        <w:rPr>
          <w:lang w:eastAsia="en-AU"/>
        </w:rPr>
      </w:pPr>
    </w:p>
    <w:p w14:paraId="05C9F923" w14:textId="64C3800D" w:rsidR="00842FF2" w:rsidRDefault="00A82D6F">
      <w:pPr>
        <w:rPr>
          <w:kern w:val="2"/>
          <w:lang w:eastAsia="en-AU"/>
          <w14:ligatures w14:val="standardContextual"/>
        </w:rPr>
      </w:pPr>
      <w:r w:rsidRPr="00A82D6F">
        <w:t xml:space="preserve">To achieve this, firms should be required to comply with </w:t>
      </w:r>
      <w:r w:rsidRPr="00A82D6F">
        <w:rPr>
          <w:i/>
          <w:iCs/>
        </w:rPr>
        <w:t>International Standard on Quality Management (ISQM) 1, Quality Management for Firms that Perform Audits or Reviews of Financial Statements, or Other Assurance or Related Services Engagements</w:t>
      </w:r>
      <w:r w:rsidR="009009C0">
        <w:rPr>
          <w:rStyle w:val="FootnoteReference"/>
          <w:i/>
          <w:iCs/>
        </w:rPr>
        <w:footnoteReference w:id="2"/>
      </w:r>
      <w:r w:rsidR="00A36748">
        <w:t xml:space="preserve"> set by the International Auditing and Assurance Standards Board</w:t>
      </w:r>
      <w:r w:rsidRPr="00A82D6F">
        <w:t xml:space="preserve">. Firms should also be required to comply with the international standard for independence, set by the International Ethics Standards Board for Accountants (IESBA) in the </w:t>
      </w:r>
      <w:r w:rsidRPr="00A82D6F">
        <w:rPr>
          <w:i/>
          <w:iCs/>
        </w:rPr>
        <w:t>International Code of Ethics for Professional Accountants, including International Independence Standards</w:t>
      </w:r>
      <w:r w:rsidR="00BD01D5">
        <w:rPr>
          <w:rStyle w:val="FootnoteReference"/>
          <w:i/>
          <w:iCs/>
        </w:rPr>
        <w:footnoteReference w:id="3"/>
      </w:r>
      <w:r w:rsidRPr="00A82D6F">
        <w:t>. It should be acknowledged that while there are Australian versions of these standards, they are primarily based on, and replicate, the international standards.</w:t>
      </w:r>
    </w:p>
    <w:p w14:paraId="25F0EB5B" w14:textId="77777777" w:rsidR="00DB0974" w:rsidRDefault="00DB0974" w:rsidP="004202F7">
      <w:pPr>
        <w:rPr>
          <w:lang w:eastAsia="en-AU"/>
        </w:rPr>
      </w:pPr>
    </w:p>
    <w:p w14:paraId="0EFCFD21" w14:textId="6E0080AB" w:rsidR="00F31C6D" w:rsidRDefault="00842FF2" w:rsidP="00353DB3">
      <w:r w:rsidRPr="008F5466">
        <w:t xml:space="preserve">Firms should be required to comply </w:t>
      </w:r>
      <w:r w:rsidR="00830B64">
        <w:t>with these ob</w:t>
      </w:r>
      <w:r w:rsidR="005B5A90">
        <w:t xml:space="preserve">ligations </w:t>
      </w:r>
      <w:r w:rsidRPr="008F5466">
        <w:t xml:space="preserve">based on the nature, scale and complexity of their firm, allowing the obligations to be applied </w:t>
      </w:r>
      <w:r w:rsidR="008F5466" w:rsidRPr="008F5466">
        <w:t xml:space="preserve">proportionately and </w:t>
      </w:r>
      <w:r w:rsidRPr="008F5466">
        <w:t xml:space="preserve">balancing compliance costs </w:t>
      </w:r>
      <w:r w:rsidR="008F5466" w:rsidRPr="008F5466">
        <w:t xml:space="preserve">with </w:t>
      </w:r>
      <w:r w:rsidRPr="008F5466">
        <w:t>improved compliance outcomes.</w:t>
      </w:r>
    </w:p>
    <w:p w14:paraId="297DDF14" w14:textId="77777777" w:rsidR="00AD0B6A" w:rsidRDefault="00AD0B6A" w:rsidP="004202F7">
      <w:pPr>
        <w:rPr>
          <w:lang w:eastAsia="en-AU"/>
        </w:rPr>
      </w:pPr>
    </w:p>
    <w:p w14:paraId="53CBF68E" w14:textId="77777777" w:rsidR="00F31C6D" w:rsidRDefault="00842FF2" w:rsidP="00BB4C85">
      <w:r w:rsidRPr="00183829">
        <w:t xml:space="preserve">While requiring firms that provide audit services to reporting entities </w:t>
      </w:r>
      <w:r w:rsidR="00183829" w:rsidRPr="00183829">
        <w:t xml:space="preserve">to register </w:t>
      </w:r>
      <w:r w:rsidRPr="00183829">
        <w:t xml:space="preserve">will close a regulatory gap, this </w:t>
      </w:r>
      <w:r w:rsidR="00183829" w:rsidRPr="00183829">
        <w:t xml:space="preserve">will </w:t>
      </w:r>
      <w:r w:rsidRPr="00183829">
        <w:t>only be effective if there is proactive and ongoing monitoring of compliance with these obligations.</w:t>
      </w:r>
    </w:p>
    <w:p w14:paraId="6FDA2C80" w14:textId="77777777" w:rsidR="005B5A90" w:rsidRDefault="005B5A90" w:rsidP="00BB4C85"/>
    <w:p w14:paraId="52C2F9B0" w14:textId="1D229A47" w:rsidR="00F31C6D" w:rsidRDefault="00842FF2" w:rsidP="00DB3EC2">
      <w:r w:rsidRPr="006B037E">
        <w:t xml:space="preserve">A concerning trend in </w:t>
      </w:r>
      <w:r w:rsidR="006B037E" w:rsidRPr="006B037E">
        <w:t>addressing</w:t>
      </w:r>
      <w:r w:rsidRPr="006B037E">
        <w:t xml:space="preserve"> compliance failures is to increase penalties and consequences after the fact, often when the damage has already occurred. This approach is often ineffective in preventing future poor conduct</w:t>
      </w:r>
      <w:r w:rsidR="006B037E" w:rsidRPr="006B037E">
        <w:t xml:space="preserve"> and</w:t>
      </w:r>
      <w:r w:rsidRPr="006B037E">
        <w:t xml:space="preserve"> results in significant investigation and enforcement costs after the fact. </w:t>
      </w:r>
      <w:r w:rsidR="00301691">
        <w:t xml:space="preserve">For example, we have seen significant increases in enforcement costs </w:t>
      </w:r>
      <w:r w:rsidRPr="00564E60">
        <w:t>borne by ASIC</w:t>
      </w:r>
      <w:r w:rsidR="006B037E" w:rsidRPr="00564E60">
        <w:t>-</w:t>
      </w:r>
      <w:r w:rsidRPr="00564E60">
        <w:t>regulated entities under the IFM</w:t>
      </w:r>
      <w:r w:rsidR="000A0EF2">
        <w:t xml:space="preserve"> in other sectors currently licensed with ASIC</w:t>
      </w:r>
      <w:r w:rsidRPr="00564E60">
        <w:t>.</w:t>
      </w:r>
      <w:r w:rsidR="009A6DB4">
        <w:t xml:space="preserve">  </w:t>
      </w:r>
    </w:p>
    <w:p w14:paraId="57766C99" w14:textId="77777777" w:rsidR="0082212A" w:rsidRDefault="0082212A" w:rsidP="004202F7">
      <w:pPr>
        <w:rPr>
          <w:lang w:eastAsia="en-AU"/>
        </w:rPr>
      </w:pPr>
    </w:p>
    <w:p w14:paraId="2E285ABA" w14:textId="3FF96F65" w:rsidR="00F31C6D" w:rsidRDefault="00842FF2" w:rsidP="0014345E">
      <w:r w:rsidRPr="00DB0EB5">
        <w:t>If a registration model is adopted,</w:t>
      </w:r>
      <w:r w:rsidR="009C526D">
        <w:t xml:space="preserve"> and ASIC appointed as the regulator, </w:t>
      </w:r>
      <w:r w:rsidR="00DB0EB5" w:rsidRPr="00DB0EB5">
        <w:t>its</w:t>
      </w:r>
      <w:r w:rsidRPr="00DB0EB5">
        <w:t xml:space="preserve"> design and implementation must consider effective ongoing oversight to detect early non-compliance before issues become </w:t>
      </w:r>
      <w:r w:rsidR="00DB0EB5" w:rsidRPr="00DB0EB5">
        <w:t>systemic</w:t>
      </w:r>
      <w:r w:rsidRPr="00DB0EB5">
        <w:t xml:space="preserve"> and/or material. This also includes the design of the </w:t>
      </w:r>
      <w:r w:rsidR="009C526D">
        <w:t xml:space="preserve">ASIC </w:t>
      </w:r>
      <w:r w:rsidRPr="00DB0EB5">
        <w:t xml:space="preserve">IFM to ensure firms </w:t>
      </w:r>
      <w:r w:rsidR="00DB0EB5" w:rsidRPr="00DB0EB5">
        <w:t>do</w:t>
      </w:r>
      <w:r w:rsidRPr="00DB0EB5">
        <w:t xml:space="preserve"> not unfairly </w:t>
      </w:r>
      <w:r w:rsidR="00DB0EB5" w:rsidRPr="00DB0EB5">
        <w:t>incur</w:t>
      </w:r>
      <w:r w:rsidRPr="00DB0EB5">
        <w:t xml:space="preserve"> duplicate costs, noting that auditors of disclosing entities and RCAs already </w:t>
      </w:r>
      <w:r w:rsidR="00DB0EB5" w:rsidRPr="00DB0EB5">
        <w:t>pay</w:t>
      </w:r>
      <w:r w:rsidRPr="00DB0EB5">
        <w:t xml:space="preserve"> IFM levies</w:t>
      </w:r>
      <w:r w:rsidR="00D9645E">
        <w:t xml:space="preserve">.  </w:t>
      </w:r>
      <w:r w:rsidR="00281B3B">
        <w:t xml:space="preserve">This should include </w:t>
      </w:r>
      <w:r w:rsidR="00D9645E">
        <w:t>how the risk of</w:t>
      </w:r>
      <w:r w:rsidR="009A6DB4">
        <w:t xml:space="preserve"> smaller firms bear</w:t>
      </w:r>
      <w:r w:rsidR="00730662">
        <w:t>ing</w:t>
      </w:r>
      <w:r w:rsidR="009A6DB4">
        <w:t xml:space="preserve"> what could potentially be significant enforcement costs </w:t>
      </w:r>
      <w:r w:rsidR="00D9645E">
        <w:t>resulting from larger firms</w:t>
      </w:r>
      <w:r w:rsidR="00730662">
        <w:t xml:space="preserve"> </w:t>
      </w:r>
      <w:r w:rsidR="00220DBC">
        <w:t xml:space="preserve">can be mitigated </w:t>
      </w:r>
      <w:r w:rsidR="00730662">
        <w:t>if a proactive oversight model is not implemented</w:t>
      </w:r>
      <w:r w:rsidRPr="00DB0EB5">
        <w:t>.</w:t>
      </w:r>
      <w:r w:rsidR="00A315B4">
        <w:t xml:space="preserve"> </w:t>
      </w:r>
    </w:p>
    <w:p w14:paraId="756FF569" w14:textId="77777777" w:rsidR="00CF6EC5" w:rsidRDefault="00CF6EC5" w:rsidP="004202F7">
      <w:pPr>
        <w:rPr>
          <w:lang w:eastAsia="en-AU"/>
        </w:rPr>
      </w:pPr>
    </w:p>
    <w:p w14:paraId="509D8062" w14:textId="508CA68A" w:rsidR="00F31C6D" w:rsidRDefault="00220DBC" w:rsidP="00A55E95">
      <w:r>
        <w:t xml:space="preserve">As stated in the consultation, </w:t>
      </w:r>
      <w:r w:rsidR="00F02B9E" w:rsidRPr="00F02B9E">
        <w:t>ASIC</w:t>
      </w:r>
      <w:r>
        <w:t xml:space="preserve"> has an</w:t>
      </w:r>
      <w:r w:rsidR="00842FF2" w:rsidRPr="00F02B9E">
        <w:t xml:space="preserve"> increasing regulatory remit</w:t>
      </w:r>
      <w:r>
        <w:t xml:space="preserve"> and finite resources.  </w:t>
      </w:r>
      <w:r w:rsidR="00F02B9E" w:rsidRPr="00F02B9E">
        <w:t>If</w:t>
      </w:r>
      <w:r w:rsidR="00842FF2" w:rsidRPr="00F02B9E">
        <w:t xml:space="preserve"> </w:t>
      </w:r>
      <w:r>
        <w:t xml:space="preserve">ASIC is appointed as the </w:t>
      </w:r>
      <w:r w:rsidR="00757F22">
        <w:t>regulator for audit firm registration, this will add</w:t>
      </w:r>
      <w:r w:rsidR="00842FF2" w:rsidRPr="00F02B9E">
        <w:t xml:space="preserve"> further regulatory </w:t>
      </w:r>
      <w:r w:rsidR="00757F22">
        <w:t xml:space="preserve">responsibilities and pressure </w:t>
      </w:r>
      <w:r w:rsidR="00842FF2" w:rsidRPr="00F02B9E">
        <w:t xml:space="preserve">on the regulator. Given that audit and assurance is a global discipline with an </w:t>
      </w:r>
      <w:r w:rsidR="00842FF2" w:rsidRPr="00F02B9E">
        <w:lastRenderedPageBreak/>
        <w:t>established framework and concepts, consideration should be given to whether it should have its own regulator</w:t>
      </w:r>
      <w:r w:rsidR="00F02B9E" w:rsidRPr="00F02B9E">
        <w:t>, similar to</w:t>
      </w:r>
      <w:r w:rsidR="00842FF2" w:rsidRPr="00F02B9E">
        <w:t xml:space="preserve"> taxation.</w:t>
      </w:r>
    </w:p>
    <w:p w14:paraId="4D64FE5E" w14:textId="77777777" w:rsidR="00512BE9" w:rsidRDefault="00512BE9" w:rsidP="004202F7">
      <w:pPr>
        <w:rPr>
          <w:lang w:eastAsia="en-AU"/>
        </w:rPr>
      </w:pPr>
    </w:p>
    <w:p w14:paraId="7CE160FD" w14:textId="77777777" w:rsidR="00F31C6D" w:rsidRDefault="00842FF2" w:rsidP="009B0AB4">
      <w:r w:rsidRPr="00FA3E40">
        <w:t xml:space="preserve">The SMSF Association does not support </w:t>
      </w:r>
      <w:r w:rsidR="00FA3E40" w:rsidRPr="00FA3E40">
        <w:t>Option 1B, as</w:t>
      </w:r>
      <w:r w:rsidRPr="00FA3E40">
        <w:t xml:space="preserve"> RCAs are already subject to regulatory oversight and obligations. We also do not support </w:t>
      </w:r>
      <w:r w:rsidR="00FA3E40" w:rsidRPr="00FA3E40">
        <w:t>Option</w:t>
      </w:r>
      <w:r w:rsidRPr="00FA3E40">
        <w:t xml:space="preserve"> 1C, as there are already multiple definitions of fit and proper that individuals operating under multiple regulatory frameworks must comply with, and adding a new definition </w:t>
      </w:r>
      <w:r w:rsidR="00FA3E40" w:rsidRPr="00FA3E40">
        <w:t>would</w:t>
      </w:r>
      <w:r w:rsidRPr="00FA3E40">
        <w:t xml:space="preserve"> only </w:t>
      </w:r>
      <w:r w:rsidR="00FA3E40" w:rsidRPr="00FA3E40">
        <w:t>increase</w:t>
      </w:r>
      <w:r w:rsidRPr="00FA3E40">
        <w:t xml:space="preserve"> this complexity.</w:t>
      </w:r>
    </w:p>
    <w:p w14:paraId="13F79483" w14:textId="77777777" w:rsidR="00784C71" w:rsidRDefault="00784C71" w:rsidP="004202F7">
      <w:pPr>
        <w:rPr>
          <w:lang w:eastAsia="en-AU"/>
        </w:rPr>
      </w:pPr>
    </w:p>
    <w:p w14:paraId="3F008542" w14:textId="430804D5" w:rsidR="004202F7" w:rsidRDefault="00A038B0" w:rsidP="00A038B0">
      <w:pPr>
        <w:pStyle w:val="Heading1"/>
        <w:rPr>
          <w:lang w:eastAsia="en-AU"/>
        </w:rPr>
      </w:pPr>
      <w:r w:rsidRPr="00A038B0">
        <w:rPr>
          <w:lang w:eastAsia="en-AU"/>
        </w:rPr>
        <w:t>2. Managing structural conflicts of interest in multidisciplinary firms</w:t>
      </w:r>
    </w:p>
    <w:p w14:paraId="2A23554C" w14:textId="77777777" w:rsidR="00A06C49" w:rsidRDefault="00A06C49" w:rsidP="00A06C49">
      <w:pPr>
        <w:rPr>
          <w:lang w:eastAsia="en-AU"/>
        </w:rPr>
      </w:pPr>
    </w:p>
    <w:tbl>
      <w:tblPr>
        <w:tblStyle w:val="TableGrid"/>
        <w:tblW w:w="0" w:type="auto"/>
        <w:tblLook w:val="04A0" w:firstRow="1" w:lastRow="0" w:firstColumn="1" w:lastColumn="0" w:noHBand="0" w:noVBand="1"/>
      </w:tblPr>
      <w:tblGrid>
        <w:gridCol w:w="4508"/>
        <w:gridCol w:w="4508"/>
      </w:tblGrid>
      <w:tr w:rsidR="0050003D" w14:paraId="036C9B6A" w14:textId="77777777" w:rsidTr="00C401E3">
        <w:tc>
          <w:tcPr>
            <w:tcW w:w="4508" w:type="dxa"/>
          </w:tcPr>
          <w:p w14:paraId="210474AF" w14:textId="716DE43C" w:rsidR="0050003D" w:rsidRPr="00897692" w:rsidRDefault="00547409" w:rsidP="00547409">
            <w:pPr>
              <w:pStyle w:val="Heading3"/>
              <w:rPr>
                <w:lang w:eastAsia="en-AU"/>
              </w:rPr>
            </w:pPr>
            <w:r w:rsidRPr="00547409">
              <w:t>Option</w:t>
            </w:r>
          </w:p>
        </w:tc>
        <w:tc>
          <w:tcPr>
            <w:tcW w:w="4508" w:type="dxa"/>
          </w:tcPr>
          <w:p w14:paraId="42FD1DCA" w14:textId="42BD05A4" w:rsidR="0050003D" w:rsidRPr="00897692" w:rsidRDefault="00842FF2" w:rsidP="00B454B8">
            <w:pPr>
              <w:pStyle w:val="Heading3"/>
              <w:rPr>
                <w:lang w:eastAsia="en-AU"/>
              </w:rPr>
            </w:pPr>
            <w:r w:rsidRPr="00897692">
              <w:rPr>
                <w:lang w:eastAsia="en-AU"/>
              </w:rPr>
              <w:t xml:space="preserve">SMSF Association </w:t>
            </w:r>
            <w:r w:rsidR="00B454B8" w:rsidRPr="00B454B8">
              <w:t>response</w:t>
            </w:r>
          </w:p>
        </w:tc>
      </w:tr>
      <w:tr w:rsidR="0050003D" w14:paraId="31EE77E1" w14:textId="77777777" w:rsidTr="00C401E3">
        <w:tc>
          <w:tcPr>
            <w:tcW w:w="4508" w:type="dxa"/>
          </w:tcPr>
          <w:p w14:paraId="56741D63" w14:textId="3FD678BC" w:rsidR="0050003D" w:rsidRDefault="0050003D" w:rsidP="00C401E3">
            <w:pPr>
              <w:rPr>
                <w:i/>
                <w:iCs/>
                <w:lang w:eastAsia="en-AU"/>
              </w:rPr>
            </w:pPr>
            <w:r w:rsidRPr="0050003D">
              <w:rPr>
                <w:i/>
                <w:iCs/>
                <w:lang w:eastAsia="en-AU"/>
              </w:rPr>
              <w:t xml:space="preserve">Option 2A: Prohibit reporting entities from engaging their auditor for </w:t>
            </w:r>
            <w:r w:rsidR="00AB1103" w:rsidRPr="0050003D">
              <w:rPr>
                <w:i/>
                <w:iCs/>
                <w:lang w:eastAsia="en-AU"/>
              </w:rPr>
              <w:t>non-audit</w:t>
            </w:r>
            <w:r w:rsidRPr="0050003D">
              <w:rPr>
                <w:i/>
                <w:iCs/>
                <w:lang w:eastAsia="en-AU"/>
              </w:rPr>
              <w:t xml:space="preserve"> services</w:t>
            </w:r>
          </w:p>
          <w:p w14:paraId="34D4FB53" w14:textId="550D237C" w:rsidR="00D26661" w:rsidRPr="00101EE1" w:rsidRDefault="00D26661" w:rsidP="00C401E3">
            <w:pPr>
              <w:rPr>
                <w:i/>
                <w:iCs/>
                <w:lang w:eastAsia="en-AU"/>
              </w:rPr>
            </w:pPr>
          </w:p>
        </w:tc>
        <w:tc>
          <w:tcPr>
            <w:tcW w:w="4508" w:type="dxa"/>
          </w:tcPr>
          <w:p w14:paraId="69BA7A30" w14:textId="74609560" w:rsidR="0050003D" w:rsidRDefault="00D26661" w:rsidP="00C401E3">
            <w:pPr>
              <w:rPr>
                <w:lang w:eastAsia="en-AU"/>
              </w:rPr>
            </w:pPr>
            <w:r>
              <w:rPr>
                <w:lang w:eastAsia="en-AU"/>
              </w:rPr>
              <w:t>Do not support</w:t>
            </w:r>
          </w:p>
        </w:tc>
      </w:tr>
      <w:tr w:rsidR="0050003D" w14:paraId="70E0AEBA" w14:textId="77777777" w:rsidTr="00C401E3">
        <w:tc>
          <w:tcPr>
            <w:tcW w:w="4508" w:type="dxa"/>
          </w:tcPr>
          <w:p w14:paraId="3B98738D" w14:textId="77777777" w:rsidR="0050003D" w:rsidRDefault="0050003D" w:rsidP="00C401E3">
            <w:pPr>
              <w:rPr>
                <w:i/>
                <w:iCs/>
                <w:lang w:eastAsia="en-AU"/>
              </w:rPr>
            </w:pPr>
            <w:r w:rsidRPr="0050003D">
              <w:rPr>
                <w:i/>
                <w:iCs/>
                <w:lang w:eastAsia="en-AU"/>
              </w:rPr>
              <w:t>Option 2B: Achieve operational separation within existing structures</w:t>
            </w:r>
          </w:p>
          <w:p w14:paraId="6B770BCE" w14:textId="7CB4EF03" w:rsidR="0050003D" w:rsidRPr="00101EE1" w:rsidRDefault="0050003D" w:rsidP="00C401E3">
            <w:pPr>
              <w:rPr>
                <w:i/>
                <w:iCs/>
                <w:lang w:eastAsia="en-AU"/>
              </w:rPr>
            </w:pPr>
          </w:p>
        </w:tc>
        <w:tc>
          <w:tcPr>
            <w:tcW w:w="4508" w:type="dxa"/>
          </w:tcPr>
          <w:p w14:paraId="510CBDF8" w14:textId="6072C348" w:rsidR="0050003D" w:rsidRDefault="00D26661" w:rsidP="00C401E3">
            <w:pPr>
              <w:rPr>
                <w:lang w:eastAsia="en-AU"/>
              </w:rPr>
            </w:pPr>
            <w:r>
              <w:rPr>
                <w:lang w:eastAsia="en-AU"/>
              </w:rPr>
              <w:t xml:space="preserve">Do not support </w:t>
            </w:r>
          </w:p>
        </w:tc>
      </w:tr>
      <w:tr w:rsidR="0050003D" w14:paraId="26598B54" w14:textId="77777777" w:rsidTr="00C401E3">
        <w:tc>
          <w:tcPr>
            <w:tcW w:w="4508" w:type="dxa"/>
          </w:tcPr>
          <w:p w14:paraId="5084BB14" w14:textId="77777777" w:rsidR="0050003D" w:rsidRDefault="0050003D" w:rsidP="00C401E3">
            <w:pPr>
              <w:rPr>
                <w:i/>
                <w:iCs/>
                <w:lang w:eastAsia="en-AU"/>
              </w:rPr>
            </w:pPr>
            <w:r w:rsidRPr="0050003D">
              <w:rPr>
                <w:i/>
                <w:iCs/>
                <w:lang w:eastAsia="en-AU"/>
              </w:rPr>
              <w:t>Option 2C: Mandate structural separation</w:t>
            </w:r>
          </w:p>
          <w:p w14:paraId="5DD3B50D" w14:textId="49EC3D43" w:rsidR="0050003D" w:rsidRPr="00101EE1" w:rsidRDefault="0050003D" w:rsidP="00C401E3">
            <w:pPr>
              <w:rPr>
                <w:i/>
                <w:iCs/>
                <w:lang w:eastAsia="en-AU"/>
              </w:rPr>
            </w:pPr>
          </w:p>
        </w:tc>
        <w:tc>
          <w:tcPr>
            <w:tcW w:w="4508" w:type="dxa"/>
          </w:tcPr>
          <w:p w14:paraId="1DD598F4" w14:textId="5BE56D7A" w:rsidR="0050003D" w:rsidRDefault="00D26661" w:rsidP="00C401E3">
            <w:pPr>
              <w:rPr>
                <w:lang w:eastAsia="en-AU"/>
              </w:rPr>
            </w:pPr>
            <w:r>
              <w:rPr>
                <w:lang w:eastAsia="en-AU"/>
              </w:rPr>
              <w:t xml:space="preserve">Do not support </w:t>
            </w:r>
          </w:p>
        </w:tc>
      </w:tr>
      <w:tr w:rsidR="0050003D" w14:paraId="114889FE" w14:textId="77777777" w:rsidTr="00C401E3">
        <w:tc>
          <w:tcPr>
            <w:tcW w:w="4508" w:type="dxa"/>
          </w:tcPr>
          <w:p w14:paraId="6122CE31" w14:textId="77777777" w:rsidR="0050003D" w:rsidRDefault="0050003D" w:rsidP="00C401E3">
            <w:pPr>
              <w:rPr>
                <w:i/>
                <w:iCs/>
                <w:lang w:eastAsia="en-AU"/>
              </w:rPr>
            </w:pPr>
            <w:r w:rsidRPr="0050003D">
              <w:rPr>
                <w:i/>
                <w:iCs/>
                <w:lang w:eastAsia="en-AU"/>
              </w:rPr>
              <w:t>Option 2D: Broader reform</w:t>
            </w:r>
          </w:p>
          <w:p w14:paraId="53B7A82F" w14:textId="60ECA975" w:rsidR="0050003D" w:rsidRPr="0050003D" w:rsidRDefault="0050003D" w:rsidP="00C401E3">
            <w:pPr>
              <w:rPr>
                <w:i/>
                <w:iCs/>
                <w:lang w:eastAsia="en-AU"/>
              </w:rPr>
            </w:pPr>
          </w:p>
        </w:tc>
        <w:tc>
          <w:tcPr>
            <w:tcW w:w="4508" w:type="dxa"/>
          </w:tcPr>
          <w:p w14:paraId="47BBF8E7" w14:textId="3F6B6DE0" w:rsidR="0050003D" w:rsidRDefault="00D26661" w:rsidP="00C401E3">
            <w:pPr>
              <w:rPr>
                <w:lang w:eastAsia="en-AU"/>
              </w:rPr>
            </w:pPr>
            <w:r>
              <w:rPr>
                <w:lang w:eastAsia="en-AU"/>
              </w:rPr>
              <w:t xml:space="preserve">Do not support </w:t>
            </w:r>
          </w:p>
        </w:tc>
      </w:tr>
    </w:tbl>
    <w:p w14:paraId="7F22019E" w14:textId="77777777" w:rsidR="0050003D" w:rsidRDefault="0050003D" w:rsidP="00A06C49">
      <w:pPr>
        <w:rPr>
          <w:lang w:eastAsia="en-AU"/>
        </w:rPr>
      </w:pPr>
    </w:p>
    <w:p w14:paraId="78D1CE85" w14:textId="77777777" w:rsidR="00F31C6D" w:rsidRDefault="00842FF2" w:rsidP="00EC5B07">
      <w:r w:rsidRPr="00312B42">
        <w:t>The SMSF Association does not support the implementation of any of the above options in addition to the implementation of Option 1A.</w:t>
      </w:r>
    </w:p>
    <w:p w14:paraId="5452D982" w14:textId="77777777" w:rsidR="00A06C49" w:rsidRDefault="00A06C49" w:rsidP="00A06C49">
      <w:pPr>
        <w:rPr>
          <w:lang w:eastAsia="en-AU"/>
        </w:rPr>
      </w:pPr>
    </w:p>
    <w:p w14:paraId="594849F2" w14:textId="77777777" w:rsidR="00F31C6D" w:rsidRDefault="00842FF2" w:rsidP="00031F7C">
      <w:r w:rsidRPr="00AB1790">
        <w:t>The consultation paper fails to articulate the clear benefits of these options when weighed against the potential impost on business operations, cost and complexity for firms providing audit services to reporting entities</w:t>
      </w:r>
      <w:r w:rsidR="00AB1790" w:rsidRPr="00AB1790">
        <w:t>, as well as the</w:t>
      </w:r>
      <w:r w:rsidRPr="00AB1790">
        <w:t xml:space="preserve"> flow</w:t>
      </w:r>
      <w:r w:rsidR="00AB1790" w:rsidRPr="00AB1790">
        <w:t>-through costs for</w:t>
      </w:r>
      <w:r w:rsidRPr="00AB1790">
        <w:t xml:space="preserve"> reporting entities themselves.</w:t>
      </w:r>
    </w:p>
    <w:p w14:paraId="4128B04E" w14:textId="77777777" w:rsidR="00825CA3" w:rsidRDefault="00825CA3" w:rsidP="00A06C49">
      <w:pPr>
        <w:rPr>
          <w:lang w:eastAsia="en-AU"/>
        </w:rPr>
      </w:pPr>
    </w:p>
    <w:p w14:paraId="4F231AB0" w14:textId="3BCF1A52" w:rsidR="00F31C6D" w:rsidRDefault="00842FF2" w:rsidP="000C2EBB">
      <w:r w:rsidRPr="00D415E1">
        <w:t xml:space="preserve">Further, the effective implementation and oversight of registered </w:t>
      </w:r>
      <w:r w:rsidR="00D415E1" w:rsidRPr="00D415E1">
        <w:t>firms’</w:t>
      </w:r>
      <w:r w:rsidRPr="00D415E1">
        <w:t xml:space="preserve"> compliance with quality management and independence standards should address the concerns raised in the consultation.</w:t>
      </w:r>
    </w:p>
    <w:p w14:paraId="4E38964F" w14:textId="77777777" w:rsidR="005169C7" w:rsidRDefault="005169C7" w:rsidP="00A06C49">
      <w:pPr>
        <w:rPr>
          <w:lang w:eastAsia="en-AU"/>
        </w:rPr>
      </w:pPr>
    </w:p>
    <w:p w14:paraId="3BE35E90" w14:textId="4BB0503E" w:rsidR="005169C7" w:rsidRDefault="00B15F23" w:rsidP="00A06C49">
      <w:r w:rsidRPr="00752F47">
        <w:t xml:space="preserve">If </w:t>
      </w:r>
      <w:r>
        <w:t xml:space="preserve">the options </w:t>
      </w:r>
      <w:r w:rsidRPr="00752F47">
        <w:t>we support</w:t>
      </w:r>
      <w:r>
        <w:t xml:space="preserve"> are implemented</w:t>
      </w:r>
      <w:r w:rsidRPr="00752F47">
        <w:t xml:space="preserve"> effectively</w:t>
      </w:r>
      <w:r>
        <w:t xml:space="preserve">, they </w:t>
      </w:r>
      <w:r w:rsidRPr="00752F47">
        <w:t xml:space="preserve">should </w:t>
      </w:r>
      <w:r>
        <w:t xml:space="preserve">sufficiently address the issues identified. </w:t>
      </w:r>
      <w:r w:rsidRPr="00752F47">
        <w:t>Further regulation should only be considered if these measures prove inadequate.</w:t>
      </w:r>
    </w:p>
    <w:p w14:paraId="07411FD4" w14:textId="77777777" w:rsidR="00B15F23" w:rsidRDefault="00B15F23" w:rsidP="00A06C49">
      <w:pPr>
        <w:rPr>
          <w:lang w:eastAsia="en-AU"/>
        </w:rPr>
      </w:pPr>
    </w:p>
    <w:p w14:paraId="07F88800" w14:textId="614E4E19" w:rsidR="00A06C49" w:rsidRPr="005F2D63" w:rsidRDefault="00D47461" w:rsidP="005F2D63">
      <w:pPr>
        <w:pStyle w:val="Heading1"/>
      </w:pPr>
      <w:r w:rsidRPr="005F2D63">
        <w:t>3. Internal governance of audit partnerships</w:t>
      </w:r>
    </w:p>
    <w:p w14:paraId="34DC0072" w14:textId="77777777" w:rsidR="00382140" w:rsidRDefault="00382140" w:rsidP="00382140">
      <w:pPr>
        <w:rPr>
          <w:lang w:eastAsia="en-AU"/>
        </w:rPr>
      </w:pPr>
    </w:p>
    <w:tbl>
      <w:tblPr>
        <w:tblStyle w:val="TableGrid"/>
        <w:tblW w:w="0" w:type="auto"/>
        <w:tblLook w:val="04A0" w:firstRow="1" w:lastRow="0" w:firstColumn="1" w:lastColumn="0" w:noHBand="0" w:noVBand="1"/>
      </w:tblPr>
      <w:tblGrid>
        <w:gridCol w:w="4508"/>
        <w:gridCol w:w="4508"/>
      </w:tblGrid>
      <w:tr w:rsidR="00382140" w14:paraId="1257C826" w14:textId="77777777" w:rsidTr="00C401E3">
        <w:tc>
          <w:tcPr>
            <w:tcW w:w="4508" w:type="dxa"/>
          </w:tcPr>
          <w:p w14:paraId="279D2822" w14:textId="27E4F4E6" w:rsidR="00382140" w:rsidRPr="00897692" w:rsidRDefault="005D2795" w:rsidP="005D2795">
            <w:pPr>
              <w:pStyle w:val="Heading3"/>
              <w:rPr>
                <w:lang w:eastAsia="en-AU"/>
              </w:rPr>
            </w:pPr>
            <w:r w:rsidRPr="005D2795">
              <w:t>Option</w:t>
            </w:r>
          </w:p>
        </w:tc>
        <w:tc>
          <w:tcPr>
            <w:tcW w:w="4508" w:type="dxa"/>
          </w:tcPr>
          <w:p w14:paraId="531972D9" w14:textId="0B170C15" w:rsidR="00382140" w:rsidRPr="00897692" w:rsidRDefault="00842FF2" w:rsidP="00AC47B0">
            <w:pPr>
              <w:pStyle w:val="Heading3"/>
              <w:rPr>
                <w:lang w:eastAsia="en-AU"/>
              </w:rPr>
            </w:pPr>
            <w:r w:rsidRPr="00897692">
              <w:rPr>
                <w:lang w:eastAsia="en-AU"/>
              </w:rPr>
              <w:t xml:space="preserve">SMSF Association </w:t>
            </w:r>
            <w:r w:rsidR="00AC47B0" w:rsidRPr="00AC47B0">
              <w:t>response</w:t>
            </w:r>
          </w:p>
        </w:tc>
      </w:tr>
      <w:tr w:rsidR="00382140" w14:paraId="48D67389" w14:textId="77777777" w:rsidTr="00C401E3">
        <w:tc>
          <w:tcPr>
            <w:tcW w:w="4508" w:type="dxa"/>
          </w:tcPr>
          <w:p w14:paraId="476CE722" w14:textId="77777777" w:rsidR="00382140" w:rsidRDefault="0098172C" w:rsidP="00C401E3">
            <w:pPr>
              <w:rPr>
                <w:i/>
                <w:iCs/>
                <w:lang w:eastAsia="en-AU"/>
              </w:rPr>
            </w:pPr>
            <w:r w:rsidRPr="0098172C">
              <w:rPr>
                <w:i/>
                <w:iCs/>
                <w:lang w:eastAsia="en-AU"/>
              </w:rPr>
              <w:t>Option 3A: Impose new governance requirements on large audit firms</w:t>
            </w:r>
          </w:p>
          <w:p w14:paraId="1C4F32B0" w14:textId="36F9BE56" w:rsidR="005169C7" w:rsidRPr="00101EE1" w:rsidRDefault="005169C7" w:rsidP="00C401E3">
            <w:pPr>
              <w:rPr>
                <w:i/>
                <w:iCs/>
                <w:lang w:eastAsia="en-AU"/>
              </w:rPr>
            </w:pPr>
          </w:p>
        </w:tc>
        <w:tc>
          <w:tcPr>
            <w:tcW w:w="4508" w:type="dxa"/>
          </w:tcPr>
          <w:p w14:paraId="2558558B" w14:textId="77777777" w:rsidR="00382140" w:rsidRDefault="00382140" w:rsidP="00C401E3">
            <w:pPr>
              <w:rPr>
                <w:lang w:eastAsia="en-AU"/>
              </w:rPr>
            </w:pPr>
            <w:r>
              <w:rPr>
                <w:lang w:eastAsia="en-AU"/>
              </w:rPr>
              <w:t>Do not support</w:t>
            </w:r>
          </w:p>
        </w:tc>
      </w:tr>
      <w:tr w:rsidR="00382140" w14:paraId="75D2D002" w14:textId="77777777" w:rsidTr="00C401E3">
        <w:tc>
          <w:tcPr>
            <w:tcW w:w="4508" w:type="dxa"/>
          </w:tcPr>
          <w:p w14:paraId="6BE7FA90" w14:textId="77777777" w:rsidR="00382140" w:rsidRDefault="0098172C" w:rsidP="00C401E3">
            <w:pPr>
              <w:rPr>
                <w:i/>
                <w:iCs/>
                <w:lang w:eastAsia="en-AU"/>
              </w:rPr>
            </w:pPr>
            <w:r w:rsidRPr="0098172C">
              <w:rPr>
                <w:i/>
                <w:iCs/>
                <w:lang w:eastAsia="en-AU"/>
              </w:rPr>
              <w:t xml:space="preserve">Option 3B: Reduce the partnership limit for accounting firms and require a percentage of </w:t>
            </w:r>
            <w:r w:rsidRPr="0098172C">
              <w:rPr>
                <w:i/>
                <w:iCs/>
                <w:lang w:eastAsia="en-AU"/>
              </w:rPr>
              <w:lastRenderedPageBreak/>
              <w:t>partners to be registered to deliver regulated services</w:t>
            </w:r>
          </w:p>
          <w:p w14:paraId="3D3C1FF6" w14:textId="5CA46CFD" w:rsidR="005169C7" w:rsidRPr="00101EE1" w:rsidRDefault="005169C7" w:rsidP="00C401E3">
            <w:pPr>
              <w:rPr>
                <w:i/>
                <w:iCs/>
                <w:lang w:eastAsia="en-AU"/>
              </w:rPr>
            </w:pPr>
          </w:p>
        </w:tc>
        <w:tc>
          <w:tcPr>
            <w:tcW w:w="4508" w:type="dxa"/>
          </w:tcPr>
          <w:p w14:paraId="46A2FD0E" w14:textId="77777777" w:rsidR="00382140" w:rsidRDefault="00382140" w:rsidP="00C401E3">
            <w:pPr>
              <w:rPr>
                <w:lang w:eastAsia="en-AU"/>
              </w:rPr>
            </w:pPr>
            <w:r>
              <w:rPr>
                <w:lang w:eastAsia="en-AU"/>
              </w:rPr>
              <w:lastRenderedPageBreak/>
              <w:t xml:space="preserve">Do not support </w:t>
            </w:r>
          </w:p>
        </w:tc>
      </w:tr>
      <w:tr w:rsidR="00382140" w14:paraId="2476DC69" w14:textId="77777777" w:rsidTr="00C401E3">
        <w:tc>
          <w:tcPr>
            <w:tcW w:w="4508" w:type="dxa"/>
          </w:tcPr>
          <w:p w14:paraId="3F5DD8E1" w14:textId="77777777" w:rsidR="00382140" w:rsidRDefault="00784C71" w:rsidP="00C401E3">
            <w:pPr>
              <w:rPr>
                <w:i/>
                <w:iCs/>
                <w:lang w:eastAsia="en-AU"/>
              </w:rPr>
            </w:pPr>
            <w:r w:rsidRPr="00784C71">
              <w:rPr>
                <w:i/>
                <w:iCs/>
                <w:lang w:eastAsia="en-AU"/>
              </w:rPr>
              <w:t>Option 3C: Require reporting entities to obtain audit services only from an authorised audit company</w:t>
            </w:r>
          </w:p>
          <w:p w14:paraId="3DD86E6A" w14:textId="13564851" w:rsidR="00784C71" w:rsidRPr="00101EE1" w:rsidRDefault="00784C71" w:rsidP="00C401E3">
            <w:pPr>
              <w:rPr>
                <w:i/>
                <w:iCs/>
                <w:lang w:eastAsia="en-AU"/>
              </w:rPr>
            </w:pPr>
          </w:p>
        </w:tc>
        <w:tc>
          <w:tcPr>
            <w:tcW w:w="4508" w:type="dxa"/>
          </w:tcPr>
          <w:p w14:paraId="3310BEDC" w14:textId="77777777" w:rsidR="00382140" w:rsidRDefault="00382140" w:rsidP="00C401E3">
            <w:pPr>
              <w:rPr>
                <w:lang w:eastAsia="en-AU"/>
              </w:rPr>
            </w:pPr>
            <w:r>
              <w:rPr>
                <w:lang w:eastAsia="en-AU"/>
              </w:rPr>
              <w:t xml:space="preserve">Do not support </w:t>
            </w:r>
          </w:p>
        </w:tc>
      </w:tr>
    </w:tbl>
    <w:p w14:paraId="3D6A070C" w14:textId="77777777" w:rsidR="00382140" w:rsidRDefault="00382140" w:rsidP="00382140">
      <w:pPr>
        <w:rPr>
          <w:lang w:eastAsia="en-AU"/>
        </w:rPr>
      </w:pPr>
    </w:p>
    <w:p w14:paraId="3B30757B" w14:textId="77777777" w:rsidR="00F31C6D" w:rsidRDefault="00842FF2" w:rsidP="0079392D">
      <w:r w:rsidRPr="007C4AF4">
        <w:t xml:space="preserve">The SMSF Association </w:t>
      </w:r>
      <w:r w:rsidR="007C4AF4" w:rsidRPr="007C4AF4">
        <w:t>does</w:t>
      </w:r>
      <w:r w:rsidRPr="007C4AF4">
        <w:t xml:space="preserve"> not support </w:t>
      </w:r>
      <w:r w:rsidR="007C4AF4" w:rsidRPr="007C4AF4">
        <w:t>Options</w:t>
      </w:r>
      <w:r w:rsidRPr="007C4AF4">
        <w:t xml:space="preserve"> 3A, 3B or 3C.</w:t>
      </w:r>
    </w:p>
    <w:p w14:paraId="1E8B7558" w14:textId="77777777" w:rsidR="00FE7D60" w:rsidRDefault="00FE7D60" w:rsidP="00FE7D60">
      <w:pPr>
        <w:rPr>
          <w:lang w:eastAsia="en-AU"/>
        </w:rPr>
      </w:pPr>
    </w:p>
    <w:p w14:paraId="789C7913" w14:textId="77777777" w:rsidR="00F31C6D" w:rsidRDefault="00842FF2" w:rsidP="004847D4">
      <w:r w:rsidRPr="001E6C73">
        <w:t>The consultation paper fails to articulate the clear benefits of these options when weighed against the significant potential impost on business operations, cost and complexity for firms providing audit services to reporting entities</w:t>
      </w:r>
      <w:r w:rsidR="001E6C73" w:rsidRPr="001E6C73">
        <w:t>, as well as</w:t>
      </w:r>
      <w:r w:rsidRPr="001E6C73">
        <w:t xml:space="preserve"> the flow</w:t>
      </w:r>
      <w:r w:rsidR="001E6C73" w:rsidRPr="001E6C73">
        <w:t>-</w:t>
      </w:r>
      <w:r w:rsidRPr="001E6C73">
        <w:t xml:space="preserve">on impact </w:t>
      </w:r>
      <w:r w:rsidR="001E6C73" w:rsidRPr="001E6C73">
        <w:t>for</w:t>
      </w:r>
      <w:r w:rsidRPr="001E6C73">
        <w:t xml:space="preserve"> reporting entities themselves.</w:t>
      </w:r>
    </w:p>
    <w:p w14:paraId="586A525A" w14:textId="4CD0BC1D" w:rsidR="00F77481" w:rsidRDefault="00F77481" w:rsidP="00FE7D60">
      <w:pPr>
        <w:rPr>
          <w:lang w:eastAsia="en-AU"/>
        </w:rPr>
      </w:pPr>
    </w:p>
    <w:p w14:paraId="22825249" w14:textId="282D8EBB" w:rsidR="00F31C6D" w:rsidRDefault="00842FF2" w:rsidP="00FB0C59">
      <w:r w:rsidRPr="009356AB">
        <w:t xml:space="preserve">As acknowledged in </w:t>
      </w:r>
      <w:r w:rsidR="009356AB" w:rsidRPr="009356AB">
        <w:t xml:space="preserve">the </w:t>
      </w:r>
      <w:r w:rsidRPr="009356AB">
        <w:t>consultation paper, the existence of a board and independent board members does not guarantee improved governance outcomes.</w:t>
      </w:r>
      <w:r w:rsidR="00B15F23">
        <w:t xml:space="preserve">  </w:t>
      </w:r>
      <w:r w:rsidRPr="009932F6">
        <w:t>Further, there w</w:t>
      </w:r>
      <w:r w:rsidR="00B15F23">
        <w:t>ill</w:t>
      </w:r>
      <w:r w:rsidRPr="009932F6">
        <w:t xml:space="preserve"> be significant costs to restructure some firms, </w:t>
      </w:r>
      <w:r w:rsidR="009932F6" w:rsidRPr="009932F6">
        <w:t>as well as</w:t>
      </w:r>
      <w:r w:rsidRPr="009932F6">
        <w:t xml:space="preserve"> significant flow</w:t>
      </w:r>
      <w:r w:rsidR="009932F6" w:rsidRPr="009932F6">
        <w:t>-</w:t>
      </w:r>
      <w:r w:rsidRPr="009932F6">
        <w:t xml:space="preserve">on costs </w:t>
      </w:r>
      <w:r w:rsidR="009932F6" w:rsidRPr="009932F6">
        <w:t>for</w:t>
      </w:r>
      <w:r w:rsidRPr="009932F6">
        <w:t xml:space="preserve"> reporting entities to end and re-engage existing </w:t>
      </w:r>
      <w:r w:rsidR="009932F6" w:rsidRPr="009932F6">
        <w:t>audit arrangements</w:t>
      </w:r>
      <w:r w:rsidRPr="009932F6">
        <w:t>.</w:t>
      </w:r>
    </w:p>
    <w:p w14:paraId="0D47E7EE" w14:textId="77777777" w:rsidR="00506818" w:rsidRDefault="00506818" w:rsidP="00FE7D60">
      <w:pPr>
        <w:rPr>
          <w:lang w:eastAsia="en-AU"/>
        </w:rPr>
      </w:pPr>
    </w:p>
    <w:p w14:paraId="23671D6E" w14:textId="5CDB554E" w:rsidR="00842FF2" w:rsidRDefault="003E3466">
      <w:pPr>
        <w:rPr>
          <w:kern w:val="2"/>
          <w:lang w:eastAsia="en-AU"/>
          <w14:ligatures w14:val="standardContextual"/>
        </w:rPr>
      </w:pPr>
      <w:r w:rsidRPr="003E3466">
        <w:t>We also note that ASIC has commenced Federal Court proceedings against the AAC and two auditors in relation to alleged serious audit failures linked to the First Guardian Master Fund</w:t>
      </w:r>
      <w:r w:rsidR="00A5630E">
        <w:rPr>
          <w:rStyle w:val="FootnoteReference"/>
        </w:rPr>
        <w:footnoteReference w:id="4"/>
      </w:r>
      <w:r w:rsidRPr="003E3466">
        <w:t>. While ASIC can take regulatory action against an AAC, this example also demonstrates that harmonising and applying consistent standards across entities does not, of itself, guarantee improved compliance.</w:t>
      </w:r>
    </w:p>
    <w:p w14:paraId="1A3C7A7F" w14:textId="77777777" w:rsidR="00967877" w:rsidRDefault="00967877" w:rsidP="00967877">
      <w:pPr>
        <w:rPr>
          <w:lang w:eastAsia="en-AU"/>
        </w:rPr>
      </w:pPr>
    </w:p>
    <w:p w14:paraId="0F01135C" w14:textId="1E46B78C" w:rsidR="00967877" w:rsidRDefault="005A4C68" w:rsidP="005A4C68">
      <w:pPr>
        <w:pStyle w:val="Heading1"/>
        <w:rPr>
          <w:lang w:eastAsia="en-AU"/>
        </w:rPr>
      </w:pPr>
      <w:r w:rsidRPr="005A4C68">
        <w:rPr>
          <w:lang w:eastAsia="en-AU"/>
        </w:rPr>
        <w:t>4. Improving audit surveillance</w:t>
      </w:r>
    </w:p>
    <w:p w14:paraId="020600B3" w14:textId="77777777" w:rsidR="00DC7BEB" w:rsidRDefault="00DC7BEB" w:rsidP="00DC7BEB"/>
    <w:tbl>
      <w:tblPr>
        <w:tblStyle w:val="TableGrid"/>
        <w:tblW w:w="0" w:type="auto"/>
        <w:tblLook w:val="04A0" w:firstRow="1" w:lastRow="0" w:firstColumn="1" w:lastColumn="0" w:noHBand="0" w:noVBand="1"/>
      </w:tblPr>
      <w:tblGrid>
        <w:gridCol w:w="4508"/>
        <w:gridCol w:w="4508"/>
      </w:tblGrid>
      <w:tr w:rsidR="00776006" w:rsidRPr="00897692" w14:paraId="48EDF432" w14:textId="77777777" w:rsidTr="008F5C69">
        <w:tc>
          <w:tcPr>
            <w:tcW w:w="4508" w:type="dxa"/>
          </w:tcPr>
          <w:p w14:paraId="4B23CCAA" w14:textId="7E754925" w:rsidR="00776006" w:rsidRPr="00897692" w:rsidRDefault="00760786" w:rsidP="00760786">
            <w:pPr>
              <w:pStyle w:val="Heading3"/>
              <w:rPr>
                <w:lang w:eastAsia="en-AU"/>
              </w:rPr>
            </w:pPr>
            <w:r w:rsidRPr="00760786">
              <w:t>Option</w:t>
            </w:r>
          </w:p>
        </w:tc>
        <w:tc>
          <w:tcPr>
            <w:tcW w:w="4508" w:type="dxa"/>
          </w:tcPr>
          <w:p w14:paraId="376F6E79" w14:textId="34578E08" w:rsidR="00776006" w:rsidRPr="00897692" w:rsidRDefault="00842FF2" w:rsidP="00B7160B">
            <w:pPr>
              <w:pStyle w:val="Heading3"/>
              <w:rPr>
                <w:lang w:eastAsia="en-AU"/>
              </w:rPr>
            </w:pPr>
            <w:r w:rsidRPr="00897692">
              <w:rPr>
                <w:lang w:eastAsia="en-AU"/>
              </w:rPr>
              <w:t xml:space="preserve">SMSF Association </w:t>
            </w:r>
            <w:r w:rsidR="00B7160B" w:rsidRPr="00B7160B">
              <w:t>response</w:t>
            </w:r>
          </w:p>
        </w:tc>
      </w:tr>
      <w:tr w:rsidR="00776006" w14:paraId="7A7D95FF" w14:textId="77777777" w:rsidTr="008F5C69">
        <w:tc>
          <w:tcPr>
            <w:tcW w:w="4508" w:type="dxa"/>
          </w:tcPr>
          <w:p w14:paraId="1E9412AF" w14:textId="77777777" w:rsidR="00776006" w:rsidRDefault="00776006" w:rsidP="008F5C69">
            <w:pPr>
              <w:rPr>
                <w:i/>
                <w:iCs/>
                <w:lang w:eastAsia="en-AU"/>
              </w:rPr>
            </w:pPr>
            <w:r w:rsidRPr="00776006">
              <w:rPr>
                <w:i/>
                <w:iCs/>
                <w:lang w:eastAsia="en-AU"/>
              </w:rPr>
              <w:t xml:space="preserve">Option 4: Mandate the frequency of audit reviews, increase the level of surveillance, and publish findings </w:t>
            </w:r>
          </w:p>
          <w:p w14:paraId="702C3E8B" w14:textId="7DB0D774" w:rsidR="00776006" w:rsidRPr="00101EE1" w:rsidRDefault="00776006" w:rsidP="008F5C69">
            <w:pPr>
              <w:rPr>
                <w:i/>
                <w:iCs/>
                <w:lang w:eastAsia="en-AU"/>
              </w:rPr>
            </w:pPr>
          </w:p>
        </w:tc>
        <w:tc>
          <w:tcPr>
            <w:tcW w:w="4508" w:type="dxa"/>
          </w:tcPr>
          <w:p w14:paraId="6C685B25" w14:textId="1640D9A7" w:rsidR="00776006" w:rsidRDefault="007D4F3A" w:rsidP="008F5C69">
            <w:pPr>
              <w:rPr>
                <w:lang w:eastAsia="en-AU"/>
              </w:rPr>
            </w:pPr>
            <w:r>
              <w:rPr>
                <w:lang w:eastAsia="en-AU"/>
              </w:rPr>
              <w:t>Support in principle</w:t>
            </w:r>
          </w:p>
        </w:tc>
      </w:tr>
    </w:tbl>
    <w:p w14:paraId="27BC495F" w14:textId="77777777" w:rsidR="00154246" w:rsidRDefault="00154246" w:rsidP="00DC7BEB"/>
    <w:p w14:paraId="74785CAA" w14:textId="77777777" w:rsidR="00F31C6D" w:rsidRDefault="00842FF2" w:rsidP="004A05CB">
      <w:r>
        <w:t>Further to our earlier comments and as acknowledged in the consultation paper, ASIC has a broad remit and its resourcing decisions are subject to trade-offs</w:t>
      </w:r>
      <w:r w:rsidR="00DF1544" w:rsidRPr="00DF1544">
        <w:t>,</w:t>
      </w:r>
      <w:r>
        <w:t xml:space="preserve"> not only within the auditing sector but across other sectors that it </w:t>
      </w:r>
      <w:r w:rsidR="00DF1544" w:rsidRPr="00DF1544">
        <w:t>regulates.</w:t>
      </w:r>
      <w:r>
        <w:t xml:space="preserve"> Consideration should therefore be given to the most appropriate regulatory model, including whether the audit and assurance sector </w:t>
      </w:r>
      <w:r w:rsidRPr="00DF1544">
        <w:t>should have its own regulator</w:t>
      </w:r>
      <w:r w:rsidR="00DF1544" w:rsidRPr="00DF1544">
        <w:t>, similar to</w:t>
      </w:r>
      <w:r w:rsidRPr="00DF1544">
        <w:t xml:space="preserve"> taxation.</w:t>
      </w:r>
    </w:p>
    <w:p w14:paraId="24460500" w14:textId="251DEBA3" w:rsidR="00154246" w:rsidRDefault="001C3976" w:rsidP="00DC7BEB">
      <w:r>
        <w:t xml:space="preserve">  </w:t>
      </w:r>
    </w:p>
    <w:p w14:paraId="2747267E" w14:textId="77777777" w:rsidR="00F31C6D" w:rsidRDefault="00842FF2" w:rsidP="00536277">
      <w:r>
        <w:t>Regardless of the regulator, we support proactive and early intervention to deter and prevent misconduct, rather than responding with investigation and enforcement after misconduct has occurred. This should include increased frequency of audit reviews and surveillance activity.</w:t>
      </w:r>
    </w:p>
    <w:p w14:paraId="10A11085" w14:textId="77777777" w:rsidR="002C54FD" w:rsidRDefault="002C54FD" w:rsidP="00DC7BEB"/>
    <w:p w14:paraId="785FD07F" w14:textId="77777777" w:rsidR="00842FF2" w:rsidRDefault="00735E3B">
      <w:pPr>
        <w:rPr>
          <w:kern w:val="2"/>
          <w:lang w:eastAsia="en-AU"/>
          <w14:ligatures w14:val="standardContextual"/>
        </w:rPr>
      </w:pPr>
      <w:r w:rsidRPr="00735E3B">
        <w:lastRenderedPageBreak/>
        <w:t>However, this must be balanced against the resulting costs that will be borne under the ASIC IFM, noting that in 2025–26 the estimated cost recovery amount for auditors of disclosing entities, for example, is expected to rise to $15.935 million, a 62 per cent increase on the previous financial year.</w:t>
      </w:r>
    </w:p>
    <w:p w14:paraId="74B841CC" w14:textId="77777777" w:rsidR="00776006" w:rsidRDefault="00776006" w:rsidP="00DC7BEB"/>
    <w:p w14:paraId="4BB5DA99" w14:textId="77777777" w:rsidR="00F31C6D" w:rsidRDefault="00842FF2" w:rsidP="00617873">
      <w:r>
        <w:t xml:space="preserve">On the assumption that Option 1A is implemented, any changes to the current model of audit surveillance to improve outcomes must also be considered in parallel with the oversight and monitoring of registered audit firms to ensure holistic </w:t>
      </w:r>
      <w:r w:rsidR="003254FF" w:rsidRPr="003254FF">
        <w:t xml:space="preserve">and </w:t>
      </w:r>
      <w:r>
        <w:t xml:space="preserve">effective regulatory oversight </w:t>
      </w:r>
      <w:r w:rsidR="003254FF" w:rsidRPr="003254FF">
        <w:t>that improves</w:t>
      </w:r>
      <w:r>
        <w:t xml:space="preserve"> audit quality.</w:t>
      </w:r>
    </w:p>
    <w:p w14:paraId="795667D2" w14:textId="77777777" w:rsidR="0008630D" w:rsidRDefault="0008630D" w:rsidP="00DC7BEB"/>
    <w:p w14:paraId="3ADBF844" w14:textId="0004F186" w:rsidR="00154246" w:rsidRDefault="00154246" w:rsidP="00154246">
      <w:pPr>
        <w:pStyle w:val="Heading1"/>
      </w:pPr>
      <w:r w:rsidRPr="00154246">
        <w:t>5. Enhancing disciplinary processes and sanctions</w:t>
      </w:r>
    </w:p>
    <w:tbl>
      <w:tblPr>
        <w:tblStyle w:val="TableGrid"/>
        <w:tblW w:w="0" w:type="auto"/>
        <w:tblLook w:val="04A0" w:firstRow="1" w:lastRow="0" w:firstColumn="1" w:lastColumn="0" w:noHBand="0" w:noVBand="1"/>
      </w:tblPr>
      <w:tblGrid>
        <w:gridCol w:w="4508"/>
        <w:gridCol w:w="4508"/>
      </w:tblGrid>
      <w:tr w:rsidR="00E43CBB" w14:paraId="3E1F139C" w14:textId="77777777" w:rsidTr="008F5C69">
        <w:tc>
          <w:tcPr>
            <w:tcW w:w="4508" w:type="dxa"/>
          </w:tcPr>
          <w:p w14:paraId="22151956" w14:textId="03FEC2E0" w:rsidR="00E43CBB" w:rsidRPr="00897692" w:rsidRDefault="00453A90" w:rsidP="00453A90">
            <w:pPr>
              <w:pStyle w:val="Heading3"/>
              <w:rPr>
                <w:lang w:eastAsia="en-AU"/>
              </w:rPr>
            </w:pPr>
            <w:r w:rsidRPr="00453A90">
              <w:t>Option</w:t>
            </w:r>
          </w:p>
        </w:tc>
        <w:tc>
          <w:tcPr>
            <w:tcW w:w="4508" w:type="dxa"/>
          </w:tcPr>
          <w:p w14:paraId="1E79B4F0" w14:textId="6BA78FDE" w:rsidR="00E43CBB" w:rsidRPr="00897692" w:rsidRDefault="00842FF2" w:rsidP="00C87F36">
            <w:pPr>
              <w:pStyle w:val="Heading3"/>
              <w:rPr>
                <w:lang w:eastAsia="en-AU"/>
              </w:rPr>
            </w:pPr>
            <w:r w:rsidRPr="00897692">
              <w:rPr>
                <w:lang w:eastAsia="en-AU"/>
              </w:rPr>
              <w:t xml:space="preserve">SMSF Association </w:t>
            </w:r>
            <w:r w:rsidR="00C87F36" w:rsidRPr="00C87F36">
              <w:t>response</w:t>
            </w:r>
          </w:p>
        </w:tc>
      </w:tr>
      <w:tr w:rsidR="00E43CBB" w14:paraId="264D33D8" w14:textId="77777777" w:rsidTr="008F5C69">
        <w:tc>
          <w:tcPr>
            <w:tcW w:w="4508" w:type="dxa"/>
          </w:tcPr>
          <w:p w14:paraId="7EC9315E" w14:textId="77777777" w:rsidR="00E43CBB" w:rsidRDefault="000F2BAC" w:rsidP="008F5C69">
            <w:pPr>
              <w:rPr>
                <w:i/>
                <w:iCs/>
                <w:lang w:eastAsia="en-AU"/>
              </w:rPr>
            </w:pPr>
            <w:r w:rsidRPr="000F2BAC">
              <w:rPr>
                <w:i/>
                <w:iCs/>
                <w:lang w:eastAsia="en-AU"/>
              </w:rPr>
              <w:t>Option 5A: Introduce civil penalties for contraventions of auditor requirements</w:t>
            </w:r>
          </w:p>
          <w:p w14:paraId="3B07DF23" w14:textId="38F3E144" w:rsidR="000F2BAC" w:rsidRPr="00101EE1" w:rsidRDefault="000F2BAC" w:rsidP="008F5C69">
            <w:pPr>
              <w:rPr>
                <w:i/>
                <w:iCs/>
                <w:lang w:eastAsia="en-AU"/>
              </w:rPr>
            </w:pPr>
          </w:p>
        </w:tc>
        <w:tc>
          <w:tcPr>
            <w:tcW w:w="4508" w:type="dxa"/>
          </w:tcPr>
          <w:p w14:paraId="0014115D" w14:textId="77777777" w:rsidR="00F31C6D" w:rsidRDefault="00842FF2" w:rsidP="00617B77">
            <w:r w:rsidRPr="00CD208E">
              <w:t>Support, with proportionate penalties applying to individuals, AACs and registered audit firms</w:t>
            </w:r>
            <w:r w:rsidR="00CD208E" w:rsidRPr="00CD208E">
              <w:t>,</w:t>
            </w:r>
            <w:r w:rsidRPr="00CD208E">
              <w:t xml:space="preserve"> as supported in </w:t>
            </w:r>
            <w:r w:rsidR="00CD208E" w:rsidRPr="00CD208E">
              <w:t xml:space="preserve">Option </w:t>
            </w:r>
            <w:r w:rsidRPr="00CD208E">
              <w:t>1A</w:t>
            </w:r>
            <w:r w:rsidR="00CD208E" w:rsidRPr="00CD208E">
              <w:t>.</w:t>
            </w:r>
          </w:p>
          <w:p w14:paraId="3808024E" w14:textId="04364DC9" w:rsidR="001C7A58" w:rsidRDefault="001C7A58" w:rsidP="008F5C69">
            <w:pPr>
              <w:rPr>
                <w:lang w:eastAsia="en-AU"/>
              </w:rPr>
            </w:pPr>
          </w:p>
        </w:tc>
      </w:tr>
      <w:tr w:rsidR="00E43CBB" w14:paraId="2B028BDE" w14:textId="77777777" w:rsidTr="008F5C69">
        <w:tc>
          <w:tcPr>
            <w:tcW w:w="4508" w:type="dxa"/>
          </w:tcPr>
          <w:p w14:paraId="7C5BB1E0" w14:textId="77777777" w:rsidR="00E43CBB" w:rsidRDefault="000F2BAC" w:rsidP="008F5C69">
            <w:pPr>
              <w:rPr>
                <w:i/>
                <w:iCs/>
                <w:lang w:eastAsia="en-AU"/>
              </w:rPr>
            </w:pPr>
            <w:r w:rsidRPr="000F2BAC">
              <w:rPr>
                <w:i/>
                <w:iCs/>
                <w:lang w:eastAsia="en-AU"/>
              </w:rPr>
              <w:t>Option 5B: Enhance administrative powers of ASIC</w:t>
            </w:r>
          </w:p>
          <w:p w14:paraId="4A71210A" w14:textId="3316731E" w:rsidR="000F2BAC" w:rsidRPr="00101EE1" w:rsidRDefault="000F2BAC" w:rsidP="008F5C69">
            <w:pPr>
              <w:rPr>
                <w:i/>
                <w:iCs/>
                <w:lang w:eastAsia="en-AU"/>
              </w:rPr>
            </w:pPr>
          </w:p>
        </w:tc>
        <w:tc>
          <w:tcPr>
            <w:tcW w:w="4508" w:type="dxa"/>
          </w:tcPr>
          <w:p w14:paraId="710D6C59" w14:textId="42BF3E15" w:rsidR="00E43CBB" w:rsidRDefault="00535B4F" w:rsidP="008F5C69">
            <w:pPr>
              <w:rPr>
                <w:lang w:eastAsia="en-AU"/>
              </w:rPr>
            </w:pPr>
            <w:r>
              <w:rPr>
                <w:lang w:eastAsia="en-AU"/>
              </w:rPr>
              <w:t>Support</w:t>
            </w:r>
          </w:p>
        </w:tc>
      </w:tr>
      <w:tr w:rsidR="00E43CBB" w14:paraId="6CB0D01C" w14:textId="77777777" w:rsidTr="008F5C69">
        <w:tc>
          <w:tcPr>
            <w:tcW w:w="4508" w:type="dxa"/>
          </w:tcPr>
          <w:p w14:paraId="1C1B9C0A" w14:textId="77777777" w:rsidR="00E43CBB" w:rsidRDefault="000F2BAC" w:rsidP="008F5C69">
            <w:pPr>
              <w:rPr>
                <w:i/>
                <w:iCs/>
                <w:lang w:eastAsia="en-AU"/>
              </w:rPr>
            </w:pPr>
            <w:r w:rsidRPr="000F2BAC">
              <w:rPr>
                <w:i/>
                <w:iCs/>
                <w:lang w:eastAsia="en-AU"/>
              </w:rPr>
              <w:t>Option 5C: Improve CADB’s disciplinary capability</w:t>
            </w:r>
          </w:p>
          <w:p w14:paraId="2BCAAEEA" w14:textId="138E20E4" w:rsidR="000F2BAC" w:rsidRPr="00101EE1" w:rsidRDefault="000F2BAC" w:rsidP="008F5C69">
            <w:pPr>
              <w:rPr>
                <w:i/>
                <w:iCs/>
                <w:lang w:eastAsia="en-AU"/>
              </w:rPr>
            </w:pPr>
          </w:p>
        </w:tc>
        <w:tc>
          <w:tcPr>
            <w:tcW w:w="4508" w:type="dxa"/>
          </w:tcPr>
          <w:p w14:paraId="19A51204" w14:textId="64DF5EA0" w:rsidR="00E43CBB" w:rsidRDefault="00BE0619" w:rsidP="008F5C69">
            <w:pPr>
              <w:rPr>
                <w:lang w:eastAsia="en-AU"/>
              </w:rPr>
            </w:pPr>
            <w:r>
              <w:rPr>
                <w:lang w:eastAsia="en-AU"/>
              </w:rPr>
              <w:t>Suppor</w:t>
            </w:r>
            <w:r w:rsidR="00CC726F">
              <w:rPr>
                <w:lang w:eastAsia="en-AU"/>
              </w:rPr>
              <w:t>t</w:t>
            </w:r>
          </w:p>
        </w:tc>
      </w:tr>
    </w:tbl>
    <w:p w14:paraId="7E24C522" w14:textId="77777777" w:rsidR="00E43CBB" w:rsidRDefault="00E43CBB" w:rsidP="00E43CBB"/>
    <w:p w14:paraId="73F554D5" w14:textId="5D0482A2" w:rsidR="00DB4AC1" w:rsidRDefault="008F3AAD" w:rsidP="00DB4AC1">
      <w:pPr>
        <w:rPr>
          <w:lang w:eastAsia="en-AU"/>
        </w:rPr>
      </w:pPr>
      <w:r>
        <w:rPr>
          <w:lang w:eastAsia="en-AU"/>
        </w:rPr>
        <w:t>The SMSF Association supports</w:t>
      </w:r>
      <w:r w:rsidR="007E7EE1">
        <w:rPr>
          <w:lang w:eastAsia="en-AU"/>
        </w:rPr>
        <w:t xml:space="preserve"> enhanced disciplinary processes and sanctions. </w:t>
      </w:r>
    </w:p>
    <w:p w14:paraId="70BD7F12" w14:textId="77777777" w:rsidR="00204AC2" w:rsidRDefault="00204AC2" w:rsidP="00DB4AC1">
      <w:pPr>
        <w:rPr>
          <w:lang w:eastAsia="en-AU"/>
        </w:rPr>
      </w:pPr>
    </w:p>
    <w:p w14:paraId="2E161CDE" w14:textId="136B8209" w:rsidR="00F31C6D" w:rsidRDefault="00842FF2" w:rsidP="007A1B90">
      <w:r w:rsidRPr="004E1662">
        <w:t xml:space="preserve">The introduction of civil penalties for contraventions of audit obligations under the </w:t>
      </w:r>
      <w:r w:rsidRPr="006C4F2B">
        <w:rPr>
          <w:i/>
          <w:iCs/>
        </w:rPr>
        <w:t xml:space="preserve">Corporations Act </w:t>
      </w:r>
      <w:r w:rsidR="006C4F2B" w:rsidRPr="006C4F2B">
        <w:rPr>
          <w:i/>
          <w:iCs/>
        </w:rPr>
        <w:t xml:space="preserve">2001 </w:t>
      </w:r>
      <w:r w:rsidRPr="004E1662">
        <w:t>should incentivise compliance and impose more appropriate sanctions aligned to the misconduct. The penalties should apply to RCAs, AACs and registered audit firms</w:t>
      </w:r>
      <w:r w:rsidR="004E1662" w:rsidRPr="004E1662">
        <w:t>,</w:t>
      </w:r>
      <w:r w:rsidRPr="004E1662">
        <w:t xml:space="preserve"> as supported under </w:t>
      </w:r>
      <w:r w:rsidR="006C4F2B">
        <w:t>o</w:t>
      </w:r>
      <w:r w:rsidR="004E1662" w:rsidRPr="004E1662">
        <w:t>ption</w:t>
      </w:r>
      <w:r w:rsidRPr="004E1662">
        <w:t xml:space="preserve"> 1A</w:t>
      </w:r>
      <w:r w:rsidR="004E1662" w:rsidRPr="004E1662">
        <w:t>,</w:t>
      </w:r>
      <w:r w:rsidRPr="004E1662">
        <w:t xml:space="preserve"> but </w:t>
      </w:r>
      <w:r w:rsidR="004E1662" w:rsidRPr="004E1662">
        <w:t xml:space="preserve">should </w:t>
      </w:r>
      <w:r w:rsidRPr="004E1662">
        <w:t xml:space="preserve">be proportionate </w:t>
      </w:r>
      <w:r w:rsidR="004E1662" w:rsidRPr="004E1662">
        <w:t xml:space="preserve">having regard to </w:t>
      </w:r>
      <w:r w:rsidRPr="004E1662">
        <w:t>both who the penalty is applied to and the misconduct, including resulting consequences.</w:t>
      </w:r>
    </w:p>
    <w:p w14:paraId="4154D257" w14:textId="77777777" w:rsidR="00BD36AC" w:rsidRDefault="00BD36AC" w:rsidP="00DB4AC1">
      <w:pPr>
        <w:rPr>
          <w:lang w:eastAsia="en-AU"/>
        </w:rPr>
      </w:pPr>
    </w:p>
    <w:p w14:paraId="701D1933" w14:textId="77777777" w:rsidR="00F31C6D" w:rsidRDefault="00842FF2" w:rsidP="00D669F3">
      <w:r w:rsidRPr="003F1AB3">
        <w:t>We also support the enhancement of ASIC’s administrative powers, which should complement existing disciplinary processes and provide ASIC with more timely mechanisms to prevent and respond to potential market harm. Importantly</w:t>
      </w:r>
      <w:r w:rsidR="003F1AB3" w:rsidRPr="003F1AB3">
        <w:t>,</w:t>
      </w:r>
      <w:r w:rsidRPr="003F1AB3">
        <w:t xml:space="preserve"> the right to procedural fairness must be maintained for all regulated individuals and entities.</w:t>
      </w:r>
    </w:p>
    <w:p w14:paraId="34146A2B" w14:textId="77777777" w:rsidR="008576DD" w:rsidRDefault="008576DD" w:rsidP="00DB4AC1">
      <w:pPr>
        <w:rPr>
          <w:lang w:eastAsia="en-AU"/>
        </w:rPr>
      </w:pPr>
    </w:p>
    <w:p w14:paraId="28BBAD76" w14:textId="2B3E857B" w:rsidR="00F31C6D" w:rsidRDefault="00842FF2" w:rsidP="00C82476">
      <w:r w:rsidRPr="003D13DD">
        <w:t xml:space="preserve">Expanding the Company Auditors Disciplinary Board’s (CADB) role in applying sanctions should </w:t>
      </w:r>
      <w:r w:rsidR="006C4F2B">
        <w:t xml:space="preserve">also </w:t>
      </w:r>
      <w:r w:rsidRPr="003D13DD">
        <w:t>support better compliance and improve regulatory outcomes. This includes extending CADB’s powers to consider conduct</w:t>
      </w:r>
      <w:r w:rsidR="003D13DD" w:rsidRPr="003D13DD">
        <w:t>-</w:t>
      </w:r>
      <w:r w:rsidRPr="003D13DD">
        <w:t>related matters for registered audit firms</w:t>
      </w:r>
      <w:r w:rsidR="003D13DD" w:rsidRPr="003D13DD">
        <w:t>,</w:t>
      </w:r>
      <w:r w:rsidRPr="003D13DD">
        <w:t xml:space="preserve"> as supported under </w:t>
      </w:r>
      <w:r w:rsidR="00BC5A9E">
        <w:t>o</w:t>
      </w:r>
      <w:r w:rsidR="003D13DD" w:rsidRPr="003D13DD">
        <w:t>ption</w:t>
      </w:r>
      <w:r w:rsidRPr="003D13DD">
        <w:t xml:space="preserve"> 1A.</w:t>
      </w:r>
    </w:p>
    <w:p w14:paraId="442C6BB6" w14:textId="77777777" w:rsidR="00682BC6" w:rsidRDefault="00682BC6" w:rsidP="00DB4AC1">
      <w:pPr>
        <w:rPr>
          <w:lang w:eastAsia="en-AU"/>
        </w:rPr>
      </w:pPr>
    </w:p>
    <w:p w14:paraId="191FA051" w14:textId="3C49C6AC" w:rsidR="00F31C6D" w:rsidRDefault="00842FF2" w:rsidP="000F0F36">
      <w:r w:rsidRPr="00273772">
        <w:t xml:space="preserve">While we also support </w:t>
      </w:r>
      <w:r w:rsidR="00273772" w:rsidRPr="00273772">
        <w:t xml:space="preserve">extending </w:t>
      </w:r>
      <w:r w:rsidRPr="00273772">
        <w:t xml:space="preserve">these powers to ensure that CADB </w:t>
      </w:r>
      <w:r w:rsidR="00273772" w:rsidRPr="00273772">
        <w:t>can</w:t>
      </w:r>
      <w:r w:rsidRPr="00273772">
        <w:t xml:space="preserve"> issue interim suspension orders where </w:t>
      </w:r>
      <w:r w:rsidR="00273772" w:rsidRPr="00273772">
        <w:t xml:space="preserve">there are </w:t>
      </w:r>
      <w:r w:rsidRPr="00273772">
        <w:t xml:space="preserve">concerns </w:t>
      </w:r>
      <w:r w:rsidR="00273772" w:rsidRPr="00273772">
        <w:t>about</w:t>
      </w:r>
      <w:r w:rsidRPr="00273772">
        <w:t xml:space="preserve"> public or market harm, transparency and consistency </w:t>
      </w:r>
      <w:r w:rsidR="00273772" w:rsidRPr="00273772">
        <w:t>are</w:t>
      </w:r>
      <w:r w:rsidRPr="00273772">
        <w:t xml:space="preserve"> essential to understand when and in what circumstances such powers will be applied.</w:t>
      </w:r>
      <w:r w:rsidR="00BC5A9E">
        <w:t xml:space="preserve">  </w:t>
      </w:r>
    </w:p>
    <w:p w14:paraId="21E7599B" w14:textId="77777777" w:rsidR="009E5739" w:rsidRDefault="009E5739" w:rsidP="00DB4AC1">
      <w:pPr>
        <w:rPr>
          <w:lang w:eastAsia="en-AU"/>
        </w:rPr>
      </w:pPr>
    </w:p>
    <w:p w14:paraId="7A58D130" w14:textId="77777777" w:rsidR="00F31C6D" w:rsidRDefault="00842FF2" w:rsidP="00C23D00">
      <w:r w:rsidRPr="00201081">
        <w:lastRenderedPageBreak/>
        <w:t>It is also important that</w:t>
      </w:r>
      <w:r w:rsidR="00201081" w:rsidRPr="00201081">
        <w:t>,</w:t>
      </w:r>
      <w:r w:rsidRPr="00201081">
        <w:t xml:space="preserve"> if such powers are extended, CADB responds and acts in a timely and efficient manner </w:t>
      </w:r>
      <w:r w:rsidR="00201081" w:rsidRPr="00201081">
        <w:t>in response</w:t>
      </w:r>
      <w:r w:rsidRPr="00201081">
        <w:t xml:space="preserve"> to potential and identified misconduct.</w:t>
      </w:r>
    </w:p>
    <w:p w14:paraId="634A868D" w14:textId="77777777" w:rsidR="00BD36AC" w:rsidRDefault="00BD36AC" w:rsidP="00DB4AC1">
      <w:pPr>
        <w:rPr>
          <w:lang w:eastAsia="en-AU"/>
        </w:rPr>
      </w:pPr>
    </w:p>
    <w:p w14:paraId="78CEDD58" w14:textId="49AE14C4" w:rsidR="00DB4AC1" w:rsidRDefault="00BF1505" w:rsidP="00BF1505">
      <w:pPr>
        <w:pStyle w:val="Heading1"/>
        <w:rPr>
          <w:lang w:eastAsia="en-AU"/>
        </w:rPr>
      </w:pPr>
      <w:r w:rsidRPr="00BF1505">
        <w:rPr>
          <w:lang w:eastAsia="en-AU"/>
        </w:rPr>
        <w:t>6. Enhancing audit market dynamism for reporting entities</w:t>
      </w:r>
    </w:p>
    <w:p w14:paraId="273AD0DC" w14:textId="77777777" w:rsidR="00E25EF3" w:rsidRPr="00E25EF3" w:rsidRDefault="00E25EF3" w:rsidP="00E25EF3">
      <w:pPr>
        <w:rPr>
          <w:lang w:eastAsia="en-AU"/>
        </w:rPr>
      </w:pPr>
    </w:p>
    <w:tbl>
      <w:tblPr>
        <w:tblStyle w:val="TableGrid"/>
        <w:tblW w:w="0" w:type="auto"/>
        <w:tblLook w:val="04A0" w:firstRow="1" w:lastRow="0" w:firstColumn="1" w:lastColumn="0" w:noHBand="0" w:noVBand="1"/>
      </w:tblPr>
      <w:tblGrid>
        <w:gridCol w:w="4508"/>
        <w:gridCol w:w="4508"/>
      </w:tblGrid>
      <w:tr w:rsidR="00E25EF3" w14:paraId="66014C11" w14:textId="77777777" w:rsidTr="008F5C69">
        <w:tc>
          <w:tcPr>
            <w:tcW w:w="4508" w:type="dxa"/>
          </w:tcPr>
          <w:p w14:paraId="65D19E57" w14:textId="470C7C1B" w:rsidR="00E25EF3" w:rsidRPr="00897692" w:rsidRDefault="007345AF" w:rsidP="007345AF">
            <w:pPr>
              <w:pStyle w:val="Heading3"/>
              <w:rPr>
                <w:lang w:eastAsia="en-AU"/>
              </w:rPr>
            </w:pPr>
            <w:r w:rsidRPr="007345AF">
              <w:t>Option</w:t>
            </w:r>
          </w:p>
        </w:tc>
        <w:tc>
          <w:tcPr>
            <w:tcW w:w="4508" w:type="dxa"/>
          </w:tcPr>
          <w:p w14:paraId="35B46E89" w14:textId="2A617AFD" w:rsidR="00E25EF3" w:rsidRPr="00897692" w:rsidRDefault="00842FF2" w:rsidP="00112055">
            <w:pPr>
              <w:pStyle w:val="Heading3"/>
              <w:rPr>
                <w:lang w:eastAsia="en-AU"/>
              </w:rPr>
            </w:pPr>
            <w:r w:rsidRPr="00897692">
              <w:rPr>
                <w:lang w:eastAsia="en-AU"/>
              </w:rPr>
              <w:t xml:space="preserve">SMSF Association </w:t>
            </w:r>
            <w:r w:rsidR="00112055" w:rsidRPr="00112055">
              <w:t>response</w:t>
            </w:r>
          </w:p>
        </w:tc>
      </w:tr>
      <w:tr w:rsidR="00E25EF3" w14:paraId="566B0A61" w14:textId="77777777" w:rsidTr="008F5C69">
        <w:tc>
          <w:tcPr>
            <w:tcW w:w="4508" w:type="dxa"/>
          </w:tcPr>
          <w:p w14:paraId="2CE24012" w14:textId="77777777" w:rsidR="00E25EF3" w:rsidRDefault="00F31C6D" w:rsidP="008F5C69">
            <w:pPr>
              <w:rPr>
                <w:i/>
                <w:iCs/>
                <w:lang w:eastAsia="en-AU"/>
              </w:rPr>
            </w:pPr>
            <w:r w:rsidRPr="00F31C6D">
              <w:rPr>
                <w:i/>
                <w:iCs/>
                <w:lang w:eastAsia="en-AU"/>
              </w:rPr>
              <w:t>Option 6A: Additional reporting obligations for reporting entities regarding auditor tenure</w:t>
            </w:r>
          </w:p>
          <w:p w14:paraId="7D98CF31" w14:textId="5E4DD76B" w:rsidR="00F31C6D" w:rsidRPr="00101EE1" w:rsidRDefault="00F31C6D" w:rsidP="008F5C69">
            <w:pPr>
              <w:rPr>
                <w:i/>
                <w:iCs/>
                <w:lang w:eastAsia="en-AU"/>
              </w:rPr>
            </w:pPr>
          </w:p>
        </w:tc>
        <w:tc>
          <w:tcPr>
            <w:tcW w:w="4508" w:type="dxa"/>
          </w:tcPr>
          <w:p w14:paraId="6A51926B" w14:textId="79EF7C6B" w:rsidR="00E25EF3" w:rsidRDefault="00F31C6D" w:rsidP="008F5C69">
            <w:pPr>
              <w:rPr>
                <w:lang w:eastAsia="en-AU"/>
              </w:rPr>
            </w:pPr>
            <w:r>
              <w:rPr>
                <w:lang w:eastAsia="en-AU"/>
              </w:rPr>
              <w:t xml:space="preserve">Support </w:t>
            </w:r>
          </w:p>
        </w:tc>
      </w:tr>
      <w:tr w:rsidR="00E25EF3" w14:paraId="7569EF67" w14:textId="77777777" w:rsidTr="008F5C69">
        <w:tc>
          <w:tcPr>
            <w:tcW w:w="4508" w:type="dxa"/>
          </w:tcPr>
          <w:p w14:paraId="52FBDB2E" w14:textId="77777777" w:rsidR="00E25EF3" w:rsidRDefault="00F31C6D" w:rsidP="008F5C69">
            <w:pPr>
              <w:rPr>
                <w:i/>
                <w:iCs/>
                <w:lang w:eastAsia="en-AU"/>
              </w:rPr>
            </w:pPr>
            <w:r w:rsidRPr="00F31C6D">
              <w:rPr>
                <w:i/>
                <w:iCs/>
                <w:lang w:eastAsia="en-AU"/>
              </w:rPr>
              <w:t>Option 6B: Mandatory periodic tendering for audit services</w:t>
            </w:r>
          </w:p>
          <w:p w14:paraId="5F409279" w14:textId="3A91FFF3" w:rsidR="00F31C6D" w:rsidRPr="00101EE1" w:rsidRDefault="00F31C6D" w:rsidP="008F5C69">
            <w:pPr>
              <w:rPr>
                <w:i/>
                <w:iCs/>
                <w:lang w:eastAsia="en-AU"/>
              </w:rPr>
            </w:pPr>
          </w:p>
        </w:tc>
        <w:tc>
          <w:tcPr>
            <w:tcW w:w="4508" w:type="dxa"/>
          </w:tcPr>
          <w:p w14:paraId="4B401B73" w14:textId="53993A49" w:rsidR="00E25EF3" w:rsidRDefault="00F31C6D" w:rsidP="008F5C69">
            <w:pPr>
              <w:rPr>
                <w:lang w:eastAsia="en-AU"/>
              </w:rPr>
            </w:pPr>
            <w:r>
              <w:rPr>
                <w:lang w:eastAsia="en-AU"/>
              </w:rPr>
              <w:t xml:space="preserve">Support </w:t>
            </w:r>
          </w:p>
        </w:tc>
      </w:tr>
      <w:tr w:rsidR="00E25EF3" w14:paraId="608C5E7A" w14:textId="77777777" w:rsidTr="008F5C69">
        <w:tc>
          <w:tcPr>
            <w:tcW w:w="4508" w:type="dxa"/>
          </w:tcPr>
          <w:p w14:paraId="6FC6FCE5" w14:textId="77777777" w:rsidR="00E25EF3" w:rsidRDefault="00F31C6D" w:rsidP="008F5C69">
            <w:pPr>
              <w:rPr>
                <w:i/>
                <w:iCs/>
                <w:lang w:eastAsia="en-AU"/>
              </w:rPr>
            </w:pPr>
            <w:r w:rsidRPr="00F31C6D">
              <w:rPr>
                <w:i/>
                <w:iCs/>
                <w:lang w:eastAsia="en-AU"/>
              </w:rPr>
              <w:t>Option 6C: Mandatory audit firm rotation</w:t>
            </w:r>
          </w:p>
          <w:p w14:paraId="633F4355" w14:textId="7A31D9C5" w:rsidR="00F31C6D" w:rsidRPr="00101EE1" w:rsidRDefault="00F31C6D" w:rsidP="008F5C69">
            <w:pPr>
              <w:rPr>
                <w:i/>
                <w:iCs/>
                <w:lang w:eastAsia="en-AU"/>
              </w:rPr>
            </w:pPr>
          </w:p>
        </w:tc>
        <w:tc>
          <w:tcPr>
            <w:tcW w:w="4508" w:type="dxa"/>
          </w:tcPr>
          <w:p w14:paraId="0D06FFB4" w14:textId="0E68D938" w:rsidR="00E25EF3" w:rsidRDefault="00F31C6D" w:rsidP="008F5C69">
            <w:pPr>
              <w:rPr>
                <w:lang w:eastAsia="en-AU"/>
              </w:rPr>
            </w:pPr>
            <w:r>
              <w:rPr>
                <w:lang w:eastAsia="en-AU"/>
              </w:rPr>
              <w:t xml:space="preserve">Do not support </w:t>
            </w:r>
          </w:p>
        </w:tc>
      </w:tr>
    </w:tbl>
    <w:p w14:paraId="06A5B0A5" w14:textId="77777777" w:rsidR="00F036C2" w:rsidRDefault="00F036C2" w:rsidP="00F036C2">
      <w:pPr>
        <w:rPr>
          <w:lang w:eastAsia="en-AU"/>
        </w:rPr>
      </w:pPr>
    </w:p>
    <w:p w14:paraId="6EECA22D" w14:textId="77777777" w:rsidR="00F31C6D" w:rsidRDefault="00842FF2" w:rsidP="00962727">
      <w:r w:rsidRPr="009834FC">
        <w:t xml:space="preserve">The SMSF Association supports the introduction of additional reporting obligations for reporting entities regarding auditor tenure. We believe this obligation should encourage reporting entities to consider the length of their auditor engagements and </w:t>
      </w:r>
      <w:r w:rsidR="009834FC" w:rsidRPr="009834FC">
        <w:t>whether</w:t>
      </w:r>
      <w:r w:rsidRPr="009834FC">
        <w:t xml:space="preserve"> there is a potential impact on audit quality.</w:t>
      </w:r>
    </w:p>
    <w:p w14:paraId="2B45779A" w14:textId="77777777" w:rsidR="00C3571E" w:rsidRDefault="00C3571E" w:rsidP="00F036C2">
      <w:pPr>
        <w:rPr>
          <w:lang w:eastAsia="en-AU"/>
        </w:rPr>
      </w:pPr>
    </w:p>
    <w:p w14:paraId="772B3BF0" w14:textId="77777777" w:rsidR="00F31C6D" w:rsidRDefault="00842FF2" w:rsidP="007C37BA">
      <w:r w:rsidRPr="001E7B76">
        <w:t xml:space="preserve">We also believe mandatory periodic tendering for audit services is another mechanism that will require reporting entities to give due consideration to the length of an existing relationship and ensure they are seeking audit services </w:t>
      </w:r>
      <w:r w:rsidR="001E7B76" w:rsidRPr="001E7B76">
        <w:t>from</w:t>
      </w:r>
      <w:r w:rsidRPr="001E7B76">
        <w:t xml:space="preserve"> the right firm</w:t>
      </w:r>
      <w:r w:rsidR="001E7B76" w:rsidRPr="001E7B76">
        <w:t>, having regard to</w:t>
      </w:r>
      <w:r w:rsidRPr="001E7B76">
        <w:t xml:space="preserve"> the nature, scale and complexity of the reporting entity.</w:t>
      </w:r>
    </w:p>
    <w:p w14:paraId="09B53814" w14:textId="77777777" w:rsidR="002556F9" w:rsidRDefault="002556F9" w:rsidP="00F036C2">
      <w:pPr>
        <w:rPr>
          <w:lang w:eastAsia="en-AU"/>
        </w:rPr>
      </w:pPr>
    </w:p>
    <w:p w14:paraId="0730B886" w14:textId="77777777" w:rsidR="00BC5A9E" w:rsidRDefault="00842FF2" w:rsidP="007548DD">
      <w:r w:rsidRPr="00775A0D">
        <w:t xml:space="preserve">However, if enhanced disclosure obligations and mandatory periodic </w:t>
      </w:r>
      <w:r w:rsidR="00775A0D" w:rsidRPr="00775A0D">
        <w:t>tendering are</w:t>
      </w:r>
      <w:r w:rsidRPr="00775A0D">
        <w:t xml:space="preserve"> implemented, we do not believe there is a need to also mandate audit firm rotation. Potential threats to independence through familiarity and conflicts </w:t>
      </w:r>
      <w:r w:rsidR="00BC5A9E">
        <w:t>of interest sh</w:t>
      </w:r>
      <w:r w:rsidRPr="00775A0D">
        <w:t xml:space="preserve">ould be addressed </w:t>
      </w:r>
      <w:r w:rsidR="00BC5A9E">
        <w:t>by</w:t>
      </w:r>
      <w:r w:rsidRPr="00775A0D">
        <w:t xml:space="preserve"> the requirement for firms to comply with quality management and independence obligations under </w:t>
      </w:r>
      <w:r w:rsidR="00BC5A9E">
        <w:t>o</w:t>
      </w:r>
      <w:r w:rsidR="00775A0D" w:rsidRPr="00775A0D">
        <w:t>ption</w:t>
      </w:r>
      <w:r w:rsidRPr="00775A0D">
        <w:t xml:space="preserve"> 1A. </w:t>
      </w:r>
    </w:p>
    <w:p w14:paraId="377C3EF2" w14:textId="77777777" w:rsidR="00BC5A9E" w:rsidRDefault="00BC5A9E" w:rsidP="007548DD"/>
    <w:p w14:paraId="1D7C6AF1" w14:textId="131DE8A2" w:rsidR="00F31C6D" w:rsidRDefault="00842FF2" w:rsidP="007548DD">
      <w:r w:rsidRPr="00775A0D">
        <w:t xml:space="preserve">Further, some reporting entities will have complex arrangements or </w:t>
      </w:r>
      <w:r w:rsidR="00775A0D" w:rsidRPr="00775A0D">
        <w:t xml:space="preserve">operate in </w:t>
      </w:r>
      <w:r w:rsidRPr="00775A0D">
        <w:t xml:space="preserve">niche markets that require specialist audit expertise. If that capacity is not broadly available, mandatory rotation </w:t>
      </w:r>
      <w:r w:rsidR="00775A0D" w:rsidRPr="00775A0D">
        <w:t>w</w:t>
      </w:r>
      <w:r w:rsidR="00BC5A9E">
        <w:t>ill</w:t>
      </w:r>
      <w:r w:rsidRPr="00775A0D">
        <w:t xml:space="preserve"> likely result in </w:t>
      </w:r>
      <w:r w:rsidR="00775A0D" w:rsidRPr="00775A0D">
        <w:t>rotation</w:t>
      </w:r>
      <w:r w:rsidRPr="00775A0D">
        <w:t xml:space="preserve"> among only a few firms at best.</w:t>
      </w:r>
    </w:p>
    <w:p w14:paraId="02D00737" w14:textId="77777777" w:rsidR="002308B7" w:rsidRDefault="002308B7" w:rsidP="00F036C2">
      <w:pPr>
        <w:rPr>
          <w:lang w:eastAsia="en-AU"/>
        </w:rPr>
      </w:pPr>
    </w:p>
    <w:sectPr w:rsidR="002308B7" w:rsidSect="002720C2">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DA33C" w14:textId="77777777" w:rsidR="00786DA4" w:rsidRDefault="00786DA4" w:rsidP="00C9236D">
      <w:r>
        <w:separator/>
      </w:r>
    </w:p>
  </w:endnote>
  <w:endnote w:type="continuationSeparator" w:id="0">
    <w:p w14:paraId="7A66E1EE" w14:textId="77777777" w:rsidR="00786DA4" w:rsidRDefault="00786DA4" w:rsidP="00C9236D">
      <w:r>
        <w:continuationSeparator/>
      </w:r>
    </w:p>
  </w:endnote>
  <w:endnote w:type="continuationNotice" w:id="1">
    <w:p w14:paraId="21054CC0" w14:textId="77777777" w:rsidR="00786DA4" w:rsidRDefault="00786D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F4DD2" w14:textId="77777777" w:rsidR="00692157" w:rsidRDefault="006921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color w:val="0070C0"/>
        <w:sz w:val="20"/>
        <w:szCs w:val="20"/>
      </w:rPr>
      <w:id w:val="-738941926"/>
      <w:docPartObj>
        <w:docPartGallery w:val="Page Numbers (Bottom of Page)"/>
        <w:docPartUnique/>
      </w:docPartObj>
    </w:sdtPr>
    <w:sdtEndPr/>
    <w:sdtContent>
      <w:sdt>
        <w:sdtPr>
          <w:rPr>
            <w:rFonts w:cs="Arial"/>
            <w:color w:val="0070C0"/>
            <w:sz w:val="20"/>
            <w:szCs w:val="20"/>
          </w:rPr>
          <w:id w:val="-564106297"/>
          <w:docPartObj>
            <w:docPartGallery w:val="Page Numbers (Top of Page)"/>
            <w:docPartUnique/>
          </w:docPartObj>
        </w:sdtPr>
        <w:sdtEndPr/>
        <w:sdtContent>
          <w:p w14:paraId="720AC678" w14:textId="77777777" w:rsidR="00021C6F" w:rsidRPr="00441599" w:rsidRDefault="00021C6F" w:rsidP="009A6F12">
            <w:pPr>
              <w:pStyle w:val="Footer"/>
              <w:pBdr>
                <w:top w:val="single" w:sz="4" w:space="1" w:color="0070C0"/>
              </w:pBdr>
              <w:jc w:val="both"/>
              <w:rPr>
                <w:rFonts w:cs="Arial"/>
                <w:color w:val="0070C0"/>
                <w:sz w:val="20"/>
                <w:szCs w:val="20"/>
              </w:rPr>
            </w:pPr>
            <w:r w:rsidRPr="00441599">
              <w:rPr>
                <w:rFonts w:cs="Arial"/>
                <w:color w:val="0070C0"/>
                <w:sz w:val="20"/>
                <w:szCs w:val="20"/>
              </w:rPr>
              <w:t>SMSF Association</w:t>
            </w:r>
            <w:r>
              <w:rPr>
                <w:rFonts w:cs="Arial"/>
                <w:color w:val="0070C0"/>
                <w:sz w:val="20"/>
                <w:szCs w:val="20"/>
              </w:rPr>
              <w:tab/>
            </w:r>
            <w:r>
              <w:rPr>
                <w:rFonts w:cs="Arial"/>
                <w:color w:val="0070C0"/>
                <w:sz w:val="20"/>
                <w:szCs w:val="20"/>
              </w:rPr>
              <w:tab/>
            </w:r>
            <w:r w:rsidRPr="00441599">
              <w:rPr>
                <w:rFonts w:cs="Arial"/>
                <w:color w:val="0070C0"/>
                <w:sz w:val="20"/>
                <w:szCs w:val="20"/>
              </w:rPr>
              <w:t xml:space="preserve">Page </w:t>
            </w:r>
            <w:r w:rsidRPr="00441599">
              <w:rPr>
                <w:rFonts w:cs="Arial"/>
                <w:b/>
                <w:bCs/>
                <w:color w:val="0070C0"/>
                <w:sz w:val="20"/>
                <w:szCs w:val="20"/>
              </w:rPr>
              <w:fldChar w:fldCharType="begin"/>
            </w:r>
            <w:r w:rsidRPr="00441599">
              <w:rPr>
                <w:rFonts w:cs="Arial"/>
                <w:b/>
                <w:bCs/>
                <w:color w:val="0070C0"/>
                <w:sz w:val="20"/>
                <w:szCs w:val="20"/>
              </w:rPr>
              <w:instrText xml:space="preserve"> PAGE </w:instrText>
            </w:r>
            <w:r w:rsidRPr="00441599">
              <w:rPr>
                <w:rFonts w:cs="Arial"/>
                <w:b/>
                <w:bCs/>
                <w:color w:val="0070C0"/>
                <w:sz w:val="20"/>
                <w:szCs w:val="20"/>
              </w:rPr>
              <w:fldChar w:fldCharType="separate"/>
            </w:r>
            <w:r w:rsidR="00BA7570">
              <w:rPr>
                <w:rFonts w:cs="Arial"/>
                <w:b/>
                <w:bCs/>
                <w:noProof/>
                <w:color w:val="0070C0"/>
                <w:sz w:val="20"/>
                <w:szCs w:val="20"/>
              </w:rPr>
              <w:t>3</w:t>
            </w:r>
            <w:r w:rsidRPr="00441599">
              <w:rPr>
                <w:rFonts w:cs="Arial"/>
                <w:b/>
                <w:bCs/>
                <w:color w:val="0070C0"/>
                <w:sz w:val="20"/>
                <w:szCs w:val="20"/>
              </w:rPr>
              <w:fldChar w:fldCharType="end"/>
            </w:r>
          </w:p>
        </w:sdtContent>
      </w:sdt>
    </w:sdtContent>
  </w:sdt>
  <w:p w14:paraId="226CD68B" w14:textId="77777777" w:rsidR="00021C6F" w:rsidRPr="00926824" w:rsidRDefault="00021C6F" w:rsidP="009268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0ACE5" w14:textId="350D495E" w:rsidR="002720C2" w:rsidRDefault="00655366">
    <w:pPr>
      <w:pStyle w:val="Footer"/>
    </w:pPr>
    <w:r>
      <w:rPr>
        <w:noProof/>
        <w:lang w:eastAsia="en-AU"/>
      </w:rPr>
      <w:drawing>
        <wp:inline distT="0" distB="0" distL="0" distR="0" wp14:anchorId="0061CE1B" wp14:editId="36D3F2FA">
          <wp:extent cx="5731510" cy="648151"/>
          <wp:effectExtent l="0" t="0" r="2540" b="0"/>
          <wp:docPr id="6" name="Picture 6" descr="cid:image001.png@01D39461.C471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39461.C471626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31510" cy="64815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FC7E" w14:textId="77777777" w:rsidR="00786DA4" w:rsidRDefault="00786DA4" w:rsidP="00C9236D">
      <w:r>
        <w:separator/>
      </w:r>
    </w:p>
  </w:footnote>
  <w:footnote w:type="continuationSeparator" w:id="0">
    <w:p w14:paraId="0521AC9E" w14:textId="77777777" w:rsidR="00786DA4" w:rsidRDefault="00786DA4" w:rsidP="00C9236D">
      <w:r>
        <w:continuationSeparator/>
      </w:r>
    </w:p>
  </w:footnote>
  <w:footnote w:type="continuationNotice" w:id="1">
    <w:p w14:paraId="165EC00C" w14:textId="77777777" w:rsidR="00786DA4" w:rsidRDefault="00786DA4"/>
  </w:footnote>
  <w:footnote w:id="2">
    <w:p w14:paraId="61D5BF2D" w14:textId="5ADDB33A" w:rsidR="009009C0" w:rsidRDefault="009009C0">
      <w:pPr>
        <w:pStyle w:val="FootnoteText"/>
      </w:pPr>
      <w:r>
        <w:rPr>
          <w:rStyle w:val="FootnoteReference"/>
        </w:rPr>
        <w:footnoteRef/>
      </w:r>
      <w:r>
        <w:t xml:space="preserve"> IAASB ISQM1 </w:t>
      </w:r>
      <w:r w:rsidR="001925C5">
        <w:t xml:space="preserve">&lt; </w:t>
      </w:r>
      <w:hyperlink r:id="rId1" w:history="1">
        <w:r w:rsidR="001925C5" w:rsidRPr="004F09CD">
          <w:rPr>
            <w:rStyle w:val="Hyperlink"/>
          </w:rPr>
          <w:t>https://www.iaasb.org/publications/international-standard-quality-management-isqm-1-quality-management-firms-perform-audits-or-reviews</w:t>
        </w:r>
      </w:hyperlink>
      <w:r w:rsidR="001925C5">
        <w:t xml:space="preserve"> &gt;</w:t>
      </w:r>
    </w:p>
  </w:footnote>
  <w:footnote w:id="3">
    <w:p w14:paraId="3B144F69" w14:textId="284675D4" w:rsidR="00BD01D5" w:rsidRDefault="00BD01D5">
      <w:pPr>
        <w:pStyle w:val="FootnoteText"/>
      </w:pPr>
      <w:r>
        <w:rPr>
          <w:rStyle w:val="FootnoteReference"/>
        </w:rPr>
        <w:footnoteRef/>
      </w:r>
      <w:r>
        <w:t xml:space="preserve"> IESBA International Code of Ethics for Professional Accountants &lt; </w:t>
      </w:r>
      <w:hyperlink r:id="rId2" w:history="1">
        <w:r w:rsidR="004534C2" w:rsidRPr="004F09CD">
          <w:rPr>
            <w:rStyle w:val="Hyperlink"/>
          </w:rPr>
          <w:t>https://www.ethicsboard.org/publications/2025-handbook-international-code-ethics-professional-accountants</w:t>
        </w:r>
      </w:hyperlink>
      <w:r w:rsidR="004534C2">
        <w:t xml:space="preserve"> &gt;</w:t>
      </w:r>
    </w:p>
  </w:footnote>
  <w:footnote w:id="4">
    <w:p w14:paraId="656471C4" w14:textId="0EF3CD44" w:rsidR="00A5630E" w:rsidRDefault="00A5630E">
      <w:pPr>
        <w:pStyle w:val="FootnoteText"/>
      </w:pPr>
      <w:r>
        <w:rPr>
          <w:rStyle w:val="FootnoteReference"/>
        </w:rPr>
        <w:footnoteRef/>
      </w:r>
      <w:r>
        <w:t xml:space="preserve"> ASIC sues Auditor and auditors over alleged First Guardian audit failures, 31 July 2026 &lt; </w:t>
      </w:r>
      <w:hyperlink r:id="rId3" w:history="1">
        <w:r w:rsidRPr="004F09CD">
          <w:rPr>
            <w:rStyle w:val="Hyperlink"/>
          </w:rPr>
          <w:t>https://www.asic.gov.au/about-asic/news-centre/find-a-media-release/2026-releases/26-175mr-asic-sues-auditeo-and-auditors-over-alleged-first-guardian-audit-failures/</w:t>
        </w:r>
      </w:hyperlink>
      <w:r>
        <w:t xml:space="preserve"> &gt;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6D259" w14:textId="77777777" w:rsidR="00692157" w:rsidRDefault="006921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38D" w14:textId="0D9E2B1C" w:rsidR="00021C6F" w:rsidRDefault="00021C6F" w:rsidP="006E7A03">
    <w:pPr>
      <w:pStyle w:val="Header"/>
      <w:ind w:left="-567"/>
    </w:pPr>
    <w:r>
      <w:rPr>
        <w:noProof/>
        <w:lang w:eastAsia="en-AU"/>
      </w:rPr>
      <w:drawing>
        <wp:inline distT="0" distB="0" distL="0" distR="0" wp14:anchorId="79BE8669" wp14:editId="1D376D0C">
          <wp:extent cx="871855" cy="95694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956945"/>
                  </a:xfrm>
                  <a:prstGeom prst="rect">
                    <a:avLst/>
                  </a:prstGeom>
                  <a:noFill/>
                </pic:spPr>
              </pic:pic>
            </a:graphicData>
          </a:graphic>
        </wp:inline>
      </w:drawing>
    </w:r>
    <w:r w:rsidR="00276179">
      <w:tab/>
    </w:r>
    <w:r w:rsidR="00276179">
      <w:tab/>
    </w:r>
  </w:p>
  <w:p w14:paraId="6399E834" w14:textId="77777777" w:rsidR="00670F59" w:rsidRDefault="00670F59" w:rsidP="006E7A03">
    <w:pPr>
      <w:pStyle w:val="Header"/>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2BE2" w14:textId="4AEC3FF5" w:rsidR="002720C2" w:rsidRDefault="002720C2" w:rsidP="002720C2">
    <w:pPr>
      <w:pStyle w:val="Header"/>
      <w:ind w:left="-567"/>
    </w:pPr>
    <w:r>
      <w:rPr>
        <w:noProof/>
        <w:lang w:eastAsia="en-AU"/>
      </w:rPr>
      <w:drawing>
        <wp:inline distT="0" distB="0" distL="0" distR="0" wp14:anchorId="725F256C" wp14:editId="472B85B0">
          <wp:extent cx="871200" cy="9576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00" cy="9576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5BE"/>
    <w:multiLevelType w:val="hybridMultilevel"/>
    <w:tmpl w:val="EFA2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B7489F"/>
    <w:multiLevelType w:val="hybridMultilevel"/>
    <w:tmpl w:val="603EB2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047C7"/>
    <w:multiLevelType w:val="hybridMultilevel"/>
    <w:tmpl w:val="A3322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B53C70"/>
    <w:multiLevelType w:val="hybridMultilevel"/>
    <w:tmpl w:val="BE740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6C69B5"/>
    <w:multiLevelType w:val="hybridMultilevel"/>
    <w:tmpl w:val="3FC02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584C73"/>
    <w:multiLevelType w:val="hybridMultilevel"/>
    <w:tmpl w:val="710C41B4"/>
    <w:lvl w:ilvl="0" w:tplc="2654C43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AB36A2"/>
    <w:multiLevelType w:val="hybridMultilevel"/>
    <w:tmpl w:val="2A42A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FD0208"/>
    <w:multiLevelType w:val="multilevel"/>
    <w:tmpl w:val="3958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379BD"/>
    <w:multiLevelType w:val="hybridMultilevel"/>
    <w:tmpl w:val="320E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20C6052"/>
    <w:multiLevelType w:val="multilevel"/>
    <w:tmpl w:val="0AC2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313BF"/>
    <w:multiLevelType w:val="multilevel"/>
    <w:tmpl w:val="7788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145823"/>
    <w:multiLevelType w:val="hybridMultilevel"/>
    <w:tmpl w:val="DBB2C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3C363F"/>
    <w:multiLevelType w:val="hybridMultilevel"/>
    <w:tmpl w:val="BA34F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507F91"/>
    <w:multiLevelType w:val="hybridMultilevel"/>
    <w:tmpl w:val="41888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E634EC"/>
    <w:multiLevelType w:val="hybridMultilevel"/>
    <w:tmpl w:val="08480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421A23"/>
    <w:multiLevelType w:val="hybridMultilevel"/>
    <w:tmpl w:val="ED5C9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6865DE"/>
    <w:multiLevelType w:val="multilevel"/>
    <w:tmpl w:val="57000EF8"/>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242427A"/>
    <w:multiLevelType w:val="hybridMultilevel"/>
    <w:tmpl w:val="EC2AC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2A51C99"/>
    <w:multiLevelType w:val="hybridMultilevel"/>
    <w:tmpl w:val="41105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B8647BD"/>
    <w:multiLevelType w:val="hybridMultilevel"/>
    <w:tmpl w:val="A864A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CD65A7"/>
    <w:multiLevelType w:val="hybridMultilevel"/>
    <w:tmpl w:val="EFA2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134329"/>
    <w:multiLevelType w:val="hybridMultilevel"/>
    <w:tmpl w:val="81AC4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3D6D0C"/>
    <w:multiLevelType w:val="hybridMultilevel"/>
    <w:tmpl w:val="7E9C9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1A7442"/>
    <w:multiLevelType w:val="hybridMultilevel"/>
    <w:tmpl w:val="CCE4F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0F2BF3"/>
    <w:multiLevelType w:val="hybridMultilevel"/>
    <w:tmpl w:val="8104E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3620CB"/>
    <w:multiLevelType w:val="hybridMultilevel"/>
    <w:tmpl w:val="8ED06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F55A21"/>
    <w:multiLevelType w:val="hybridMultilevel"/>
    <w:tmpl w:val="F45C19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A15AD0"/>
    <w:multiLevelType w:val="hybridMultilevel"/>
    <w:tmpl w:val="EA267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042034"/>
    <w:multiLevelType w:val="hybridMultilevel"/>
    <w:tmpl w:val="357EA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CC6799"/>
    <w:multiLevelType w:val="hybridMultilevel"/>
    <w:tmpl w:val="2C6ED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FB36B8"/>
    <w:multiLevelType w:val="hybridMultilevel"/>
    <w:tmpl w:val="FCFE3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A1511AF"/>
    <w:multiLevelType w:val="hybridMultilevel"/>
    <w:tmpl w:val="3CFA9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BF0F7C"/>
    <w:multiLevelType w:val="multilevel"/>
    <w:tmpl w:val="762A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7C01AF"/>
    <w:multiLevelType w:val="hybridMultilevel"/>
    <w:tmpl w:val="AFF4B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EA0A33"/>
    <w:multiLevelType w:val="hybridMultilevel"/>
    <w:tmpl w:val="CCD831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062201"/>
    <w:multiLevelType w:val="hybridMultilevel"/>
    <w:tmpl w:val="8752C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095006"/>
    <w:multiLevelType w:val="hybridMultilevel"/>
    <w:tmpl w:val="72E43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D6B5224"/>
    <w:multiLevelType w:val="multilevel"/>
    <w:tmpl w:val="57000EF8"/>
    <w:lvl w:ilvl="0">
      <w:start w:val="1"/>
      <w:numFmt w:val="bullet"/>
      <w:pStyle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584674"/>
    <w:multiLevelType w:val="hybridMultilevel"/>
    <w:tmpl w:val="4BA21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8562614">
    <w:abstractNumId w:val="28"/>
  </w:num>
  <w:num w:numId="2" w16cid:durableId="851264397">
    <w:abstractNumId w:val="20"/>
  </w:num>
  <w:num w:numId="3" w16cid:durableId="1827743010">
    <w:abstractNumId w:val="22"/>
  </w:num>
  <w:num w:numId="4" w16cid:durableId="214044870">
    <w:abstractNumId w:val="18"/>
  </w:num>
  <w:num w:numId="5" w16cid:durableId="2055811592">
    <w:abstractNumId w:val="5"/>
  </w:num>
  <w:num w:numId="6" w16cid:durableId="32927667">
    <w:abstractNumId w:val="35"/>
  </w:num>
  <w:num w:numId="7" w16cid:durableId="182549883">
    <w:abstractNumId w:val="26"/>
  </w:num>
  <w:num w:numId="8" w16cid:durableId="1623998310">
    <w:abstractNumId w:val="34"/>
  </w:num>
  <w:num w:numId="9" w16cid:durableId="614748585">
    <w:abstractNumId w:val="3"/>
  </w:num>
  <w:num w:numId="10" w16cid:durableId="2113041999">
    <w:abstractNumId w:val="0"/>
  </w:num>
  <w:num w:numId="11" w16cid:durableId="1581594649">
    <w:abstractNumId w:val="29"/>
  </w:num>
  <w:num w:numId="12" w16cid:durableId="733116742">
    <w:abstractNumId w:val="25"/>
  </w:num>
  <w:num w:numId="13" w16cid:durableId="1420516898">
    <w:abstractNumId w:val="4"/>
  </w:num>
  <w:num w:numId="14" w16cid:durableId="202641069">
    <w:abstractNumId w:val="14"/>
  </w:num>
  <w:num w:numId="15" w16cid:durableId="1893035936">
    <w:abstractNumId w:val="10"/>
  </w:num>
  <w:num w:numId="16" w16cid:durableId="1533611856">
    <w:abstractNumId w:val="6"/>
  </w:num>
  <w:num w:numId="17" w16cid:durableId="1039282130">
    <w:abstractNumId w:val="32"/>
  </w:num>
  <w:num w:numId="18" w16cid:durableId="1931348685">
    <w:abstractNumId w:val="1"/>
  </w:num>
  <w:num w:numId="19" w16cid:durableId="566232559">
    <w:abstractNumId w:val="24"/>
  </w:num>
  <w:num w:numId="20" w16cid:durableId="857620152">
    <w:abstractNumId w:val="33"/>
  </w:num>
  <w:num w:numId="21" w16cid:durableId="386145080">
    <w:abstractNumId w:val="30"/>
  </w:num>
  <w:num w:numId="22" w16cid:durableId="1927834677">
    <w:abstractNumId w:val="36"/>
  </w:num>
  <w:num w:numId="23" w16cid:durableId="1742752386">
    <w:abstractNumId w:val="17"/>
  </w:num>
  <w:num w:numId="24" w16cid:durableId="14962039">
    <w:abstractNumId w:val="12"/>
  </w:num>
  <w:num w:numId="25" w16cid:durableId="361173974">
    <w:abstractNumId w:val="8"/>
  </w:num>
  <w:num w:numId="26" w16cid:durableId="2005549207">
    <w:abstractNumId w:val="13"/>
  </w:num>
  <w:num w:numId="27" w16cid:durableId="488912286">
    <w:abstractNumId w:val="15"/>
  </w:num>
  <w:num w:numId="28" w16cid:durableId="1137141273">
    <w:abstractNumId w:val="11"/>
  </w:num>
  <w:num w:numId="29" w16cid:durableId="1794906152">
    <w:abstractNumId w:val="38"/>
  </w:num>
  <w:num w:numId="30" w16cid:durableId="227107436">
    <w:abstractNumId w:val="2"/>
  </w:num>
  <w:num w:numId="31" w16cid:durableId="1360814341">
    <w:abstractNumId w:val="27"/>
  </w:num>
  <w:num w:numId="32" w16cid:durableId="1806660153">
    <w:abstractNumId w:val="19"/>
  </w:num>
  <w:num w:numId="33" w16cid:durableId="567881012">
    <w:abstractNumId w:val="31"/>
  </w:num>
  <w:num w:numId="34" w16cid:durableId="1889995534">
    <w:abstractNumId w:val="23"/>
  </w:num>
  <w:num w:numId="35" w16cid:durableId="2000302802">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3694217">
    <w:abstractNumId w:val="16"/>
  </w:num>
  <w:num w:numId="37" w16cid:durableId="298800872">
    <w:abstractNumId w:val="21"/>
  </w:num>
  <w:num w:numId="38" w16cid:durableId="1013991081">
    <w:abstractNumId w:val="9"/>
  </w:num>
  <w:num w:numId="39" w16cid:durableId="5740963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36D"/>
    <w:rsid w:val="000000E3"/>
    <w:rsid w:val="00000EFE"/>
    <w:rsid w:val="00001606"/>
    <w:rsid w:val="00001A89"/>
    <w:rsid w:val="00002240"/>
    <w:rsid w:val="00002712"/>
    <w:rsid w:val="00002C1F"/>
    <w:rsid w:val="00002C25"/>
    <w:rsid w:val="00002E29"/>
    <w:rsid w:val="000032F3"/>
    <w:rsid w:val="00003A5E"/>
    <w:rsid w:val="00003FF0"/>
    <w:rsid w:val="00004140"/>
    <w:rsid w:val="00004360"/>
    <w:rsid w:val="00004ADE"/>
    <w:rsid w:val="00004CC3"/>
    <w:rsid w:val="00005163"/>
    <w:rsid w:val="000055A0"/>
    <w:rsid w:val="000059A1"/>
    <w:rsid w:val="00005A0A"/>
    <w:rsid w:val="00005CE6"/>
    <w:rsid w:val="00006481"/>
    <w:rsid w:val="00006B21"/>
    <w:rsid w:val="000070FA"/>
    <w:rsid w:val="00007501"/>
    <w:rsid w:val="00007C1D"/>
    <w:rsid w:val="00007D3F"/>
    <w:rsid w:val="00007E28"/>
    <w:rsid w:val="00010396"/>
    <w:rsid w:val="00010677"/>
    <w:rsid w:val="00010E68"/>
    <w:rsid w:val="00010F73"/>
    <w:rsid w:val="0001108C"/>
    <w:rsid w:val="00011114"/>
    <w:rsid w:val="0001154E"/>
    <w:rsid w:val="00011845"/>
    <w:rsid w:val="00012A35"/>
    <w:rsid w:val="000135ED"/>
    <w:rsid w:val="000137A9"/>
    <w:rsid w:val="00013D84"/>
    <w:rsid w:val="00014DEC"/>
    <w:rsid w:val="0001511F"/>
    <w:rsid w:val="00015930"/>
    <w:rsid w:val="000162F1"/>
    <w:rsid w:val="00016AFE"/>
    <w:rsid w:val="00016F2A"/>
    <w:rsid w:val="00017472"/>
    <w:rsid w:val="00017709"/>
    <w:rsid w:val="00020078"/>
    <w:rsid w:val="000203AE"/>
    <w:rsid w:val="00020738"/>
    <w:rsid w:val="000208B5"/>
    <w:rsid w:val="000213A9"/>
    <w:rsid w:val="00021ABE"/>
    <w:rsid w:val="00021C6F"/>
    <w:rsid w:val="00021F11"/>
    <w:rsid w:val="00022715"/>
    <w:rsid w:val="00022746"/>
    <w:rsid w:val="00022821"/>
    <w:rsid w:val="00022B0F"/>
    <w:rsid w:val="00022EAF"/>
    <w:rsid w:val="00023006"/>
    <w:rsid w:val="00023598"/>
    <w:rsid w:val="00023669"/>
    <w:rsid w:val="000251F2"/>
    <w:rsid w:val="000257B8"/>
    <w:rsid w:val="00025B30"/>
    <w:rsid w:val="00025D8E"/>
    <w:rsid w:val="00026298"/>
    <w:rsid w:val="00026A26"/>
    <w:rsid w:val="000274AD"/>
    <w:rsid w:val="00027E20"/>
    <w:rsid w:val="00030987"/>
    <w:rsid w:val="000319EB"/>
    <w:rsid w:val="00032135"/>
    <w:rsid w:val="000324F4"/>
    <w:rsid w:val="000326FC"/>
    <w:rsid w:val="000327B4"/>
    <w:rsid w:val="00032B93"/>
    <w:rsid w:val="000337D9"/>
    <w:rsid w:val="00033852"/>
    <w:rsid w:val="00033E2E"/>
    <w:rsid w:val="0003452A"/>
    <w:rsid w:val="000345DA"/>
    <w:rsid w:val="0003468A"/>
    <w:rsid w:val="000349E7"/>
    <w:rsid w:val="0003545D"/>
    <w:rsid w:val="000357BE"/>
    <w:rsid w:val="00035CAD"/>
    <w:rsid w:val="0003613F"/>
    <w:rsid w:val="00037CF1"/>
    <w:rsid w:val="00037F0A"/>
    <w:rsid w:val="000400AD"/>
    <w:rsid w:val="00040191"/>
    <w:rsid w:val="0004026C"/>
    <w:rsid w:val="000403DE"/>
    <w:rsid w:val="00041109"/>
    <w:rsid w:val="000412A6"/>
    <w:rsid w:val="00041685"/>
    <w:rsid w:val="000417B5"/>
    <w:rsid w:val="00041F9D"/>
    <w:rsid w:val="00042073"/>
    <w:rsid w:val="000429E6"/>
    <w:rsid w:val="0004347F"/>
    <w:rsid w:val="0004382F"/>
    <w:rsid w:val="00043931"/>
    <w:rsid w:val="00043C4D"/>
    <w:rsid w:val="00043C70"/>
    <w:rsid w:val="000442FD"/>
    <w:rsid w:val="000445F6"/>
    <w:rsid w:val="00044BAD"/>
    <w:rsid w:val="000468BE"/>
    <w:rsid w:val="0004695D"/>
    <w:rsid w:val="00047106"/>
    <w:rsid w:val="00047968"/>
    <w:rsid w:val="00047F72"/>
    <w:rsid w:val="00047FFB"/>
    <w:rsid w:val="0005050B"/>
    <w:rsid w:val="00050CCA"/>
    <w:rsid w:val="000515AB"/>
    <w:rsid w:val="00051F2E"/>
    <w:rsid w:val="000526E2"/>
    <w:rsid w:val="0005315B"/>
    <w:rsid w:val="00053C67"/>
    <w:rsid w:val="00053D01"/>
    <w:rsid w:val="00054113"/>
    <w:rsid w:val="000548D5"/>
    <w:rsid w:val="000555A4"/>
    <w:rsid w:val="00055B1B"/>
    <w:rsid w:val="00056844"/>
    <w:rsid w:val="00056DF0"/>
    <w:rsid w:val="000570CB"/>
    <w:rsid w:val="00057122"/>
    <w:rsid w:val="00060AF4"/>
    <w:rsid w:val="00060E58"/>
    <w:rsid w:val="00060EF5"/>
    <w:rsid w:val="00061111"/>
    <w:rsid w:val="00062ADA"/>
    <w:rsid w:val="00062E1A"/>
    <w:rsid w:val="00063394"/>
    <w:rsid w:val="00063419"/>
    <w:rsid w:val="00063B55"/>
    <w:rsid w:val="00063D80"/>
    <w:rsid w:val="00064E15"/>
    <w:rsid w:val="000653ED"/>
    <w:rsid w:val="00065524"/>
    <w:rsid w:val="000656BB"/>
    <w:rsid w:val="00065724"/>
    <w:rsid w:val="00065EFC"/>
    <w:rsid w:val="0006625D"/>
    <w:rsid w:val="00067ACA"/>
    <w:rsid w:val="000709B4"/>
    <w:rsid w:val="00070AD0"/>
    <w:rsid w:val="00070F27"/>
    <w:rsid w:val="0007155D"/>
    <w:rsid w:val="00071B49"/>
    <w:rsid w:val="00071CA1"/>
    <w:rsid w:val="0007230F"/>
    <w:rsid w:val="00072848"/>
    <w:rsid w:val="00072AB9"/>
    <w:rsid w:val="00073AA9"/>
    <w:rsid w:val="00074F1B"/>
    <w:rsid w:val="000757A4"/>
    <w:rsid w:val="00075CDF"/>
    <w:rsid w:val="000762AA"/>
    <w:rsid w:val="000765EA"/>
    <w:rsid w:val="000768F3"/>
    <w:rsid w:val="000804EF"/>
    <w:rsid w:val="00081519"/>
    <w:rsid w:val="00082062"/>
    <w:rsid w:val="00082EDE"/>
    <w:rsid w:val="00082F4A"/>
    <w:rsid w:val="0008338C"/>
    <w:rsid w:val="00083733"/>
    <w:rsid w:val="000839A2"/>
    <w:rsid w:val="00084156"/>
    <w:rsid w:val="00084537"/>
    <w:rsid w:val="00085210"/>
    <w:rsid w:val="00085754"/>
    <w:rsid w:val="00085923"/>
    <w:rsid w:val="0008630D"/>
    <w:rsid w:val="000869E0"/>
    <w:rsid w:val="00086E2D"/>
    <w:rsid w:val="00086FF1"/>
    <w:rsid w:val="0008764F"/>
    <w:rsid w:val="000877EF"/>
    <w:rsid w:val="00090227"/>
    <w:rsid w:val="000903E6"/>
    <w:rsid w:val="00091314"/>
    <w:rsid w:val="00091970"/>
    <w:rsid w:val="00091D32"/>
    <w:rsid w:val="00091DF3"/>
    <w:rsid w:val="000924B6"/>
    <w:rsid w:val="000931C9"/>
    <w:rsid w:val="00093F0C"/>
    <w:rsid w:val="0009454A"/>
    <w:rsid w:val="00094603"/>
    <w:rsid w:val="00094CAE"/>
    <w:rsid w:val="00094D65"/>
    <w:rsid w:val="00095CA6"/>
    <w:rsid w:val="00095F7D"/>
    <w:rsid w:val="00096742"/>
    <w:rsid w:val="00096D3E"/>
    <w:rsid w:val="000A006F"/>
    <w:rsid w:val="000A00F8"/>
    <w:rsid w:val="000A0223"/>
    <w:rsid w:val="000A0D5B"/>
    <w:rsid w:val="000A0E27"/>
    <w:rsid w:val="000A0EF2"/>
    <w:rsid w:val="000A123B"/>
    <w:rsid w:val="000A15A1"/>
    <w:rsid w:val="000A18FB"/>
    <w:rsid w:val="000A1E06"/>
    <w:rsid w:val="000A1EBB"/>
    <w:rsid w:val="000A2987"/>
    <w:rsid w:val="000A2EAD"/>
    <w:rsid w:val="000A3737"/>
    <w:rsid w:val="000A57FE"/>
    <w:rsid w:val="000A5E7F"/>
    <w:rsid w:val="000A611C"/>
    <w:rsid w:val="000A6377"/>
    <w:rsid w:val="000A6FFD"/>
    <w:rsid w:val="000A7625"/>
    <w:rsid w:val="000A796A"/>
    <w:rsid w:val="000B02A3"/>
    <w:rsid w:val="000B0501"/>
    <w:rsid w:val="000B0741"/>
    <w:rsid w:val="000B1049"/>
    <w:rsid w:val="000B1485"/>
    <w:rsid w:val="000B19BF"/>
    <w:rsid w:val="000B205B"/>
    <w:rsid w:val="000B357A"/>
    <w:rsid w:val="000B364E"/>
    <w:rsid w:val="000B3DC8"/>
    <w:rsid w:val="000B4413"/>
    <w:rsid w:val="000B5205"/>
    <w:rsid w:val="000B64EC"/>
    <w:rsid w:val="000B6E1C"/>
    <w:rsid w:val="000C09EE"/>
    <w:rsid w:val="000C0ED8"/>
    <w:rsid w:val="000C110D"/>
    <w:rsid w:val="000C167D"/>
    <w:rsid w:val="000C1CDD"/>
    <w:rsid w:val="000C1F63"/>
    <w:rsid w:val="000C2555"/>
    <w:rsid w:val="000C2DE2"/>
    <w:rsid w:val="000C3BE5"/>
    <w:rsid w:val="000C5462"/>
    <w:rsid w:val="000C568C"/>
    <w:rsid w:val="000C624A"/>
    <w:rsid w:val="000C6298"/>
    <w:rsid w:val="000C6A7C"/>
    <w:rsid w:val="000C6BAB"/>
    <w:rsid w:val="000C733F"/>
    <w:rsid w:val="000C77EC"/>
    <w:rsid w:val="000D01C4"/>
    <w:rsid w:val="000D022F"/>
    <w:rsid w:val="000D1342"/>
    <w:rsid w:val="000D2B05"/>
    <w:rsid w:val="000D2D37"/>
    <w:rsid w:val="000D2D97"/>
    <w:rsid w:val="000D3080"/>
    <w:rsid w:val="000D35BC"/>
    <w:rsid w:val="000D37AE"/>
    <w:rsid w:val="000D3879"/>
    <w:rsid w:val="000D42EF"/>
    <w:rsid w:val="000D47BB"/>
    <w:rsid w:val="000D50A3"/>
    <w:rsid w:val="000D5276"/>
    <w:rsid w:val="000D583D"/>
    <w:rsid w:val="000D5C56"/>
    <w:rsid w:val="000D659F"/>
    <w:rsid w:val="000D65A3"/>
    <w:rsid w:val="000D6B62"/>
    <w:rsid w:val="000D6CD4"/>
    <w:rsid w:val="000D7200"/>
    <w:rsid w:val="000E0C2E"/>
    <w:rsid w:val="000E1D95"/>
    <w:rsid w:val="000E21DB"/>
    <w:rsid w:val="000E3352"/>
    <w:rsid w:val="000E34A0"/>
    <w:rsid w:val="000E38A8"/>
    <w:rsid w:val="000E39E6"/>
    <w:rsid w:val="000E4D57"/>
    <w:rsid w:val="000E5066"/>
    <w:rsid w:val="000E5200"/>
    <w:rsid w:val="000E776C"/>
    <w:rsid w:val="000E7E7E"/>
    <w:rsid w:val="000F0D5C"/>
    <w:rsid w:val="000F148B"/>
    <w:rsid w:val="000F1CC0"/>
    <w:rsid w:val="000F1CC2"/>
    <w:rsid w:val="000F24DC"/>
    <w:rsid w:val="000F24F1"/>
    <w:rsid w:val="000F2BAC"/>
    <w:rsid w:val="000F3A68"/>
    <w:rsid w:val="000F3C37"/>
    <w:rsid w:val="000F3C49"/>
    <w:rsid w:val="000F41CE"/>
    <w:rsid w:val="000F5962"/>
    <w:rsid w:val="000F5BAE"/>
    <w:rsid w:val="000F6421"/>
    <w:rsid w:val="000F6A35"/>
    <w:rsid w:val="000F79A5"/>
    <w:rsid w:val="000F7E00"/>
    <w:rsid w:val="00100205"/>
    <w:rsid w:val="0010026B"/>
    <w:rsid w:val="00100C08"/>
    <w:rsid w:val="00101353"/>
    <w:rsid w:val="00101531"/>
    <w:rsid w:val="0010153E"/>
    <w:rsid w:val="00101EE1"/>
    <w:rsid w:val="00103768"/>
    <w:rsid w:val="00103999"/>
    <w:rsid w:val="00103B52"/>
    <w:rsid w:val="001046C5"/>
    <w:rsid w:val="001049DE"/>
    <w:rsid w:val="00104A05"/>
    <w:rsid w:val="00104C83"/>
    <w:rsid w:val="001054B3"/>
    <w:rsid w:val="00105555"/>
    <w:rsid w:val="00105C1C"/>
    <w:rsid w:val="00106178"/>
    <w:rsid w:val="001066F3"/>
    <w:rsid w:val="001073AF"/>
    <w:rsid w:val="001074F8"/>
    <w:rsid w:val="00107F79"/>
    <w:rsid w:val="00110525"/>
    <w:rsid w:val="00110BDD"/>
    <w:rsid w:val="00111D08"/>
    <w:rsid w:val="00112055"/>
    <w:rsid w:val="00112E53"/>
    <w:rsid w:val="00112E9A"/>
    <w:rsid w:val="001132E7"/>
    <w:rsid w:val="001145A6"/>
    <w:rsid w:val="001145AC"/>
    <w:rsid w:val="00114692"/>
    <w:rsid w:val="00114C55"/>
    <w:rsid w:val="00115BF2"/>
    <w:rsid w:val="00115CF4"/>
    <w:rsid w:val="00116BBA"/>
    <w:rsid w:val="00116FE3"/>
    <w:rsid w:val="001170B9"/>
    <w:rsid w:val="001174D9"/>
    <w:rsid w:val="001176D2"/>
    <w:rsid w:val="00117902"/>
    <w:rsid w:val="00117A7C"/>
    <w:rsid w:val="00117E1C"/>
    <w:rsid w:val="00117EF6"/>
    <w:rsid w:val="00117FB5"/>
    <w:rsid w:val="001204A3"/>
    <w:rsid w:val="00121541"/>
    <w:rsid w:val="001217C9"/>
    <w:rsid w:val="00121AB0"/>
    <w:rsid w:val="0012290E"/>
    <w:rsid w:val="00122B0E"/>
    <w:rsid w:val="00122C97"/>
    <w:rsid w:val="00122EF6"/>
    <w:rsid w:val="001234B0"/>
    <w:rsid w:val="001237CC"/>
    <w:rsid w:val="001245F5"/>
    <w:rsid w:val="00124A9F"/>
    <w:rsid w:val="001256A7"/>
    <w:rsid w:val="00125704"/>
    <w:rsid w:val="00125A93"/>
    <w:rsid w:val="00127C4D"/>
    <w:rsid w:val="00127D57"/>
    <w:rsid w:val="00127EDA"/>
    <w:rsid w:val="00130656"/>
    <w:rsid w:val="00130888"/>
    <w:rsid w:val="00130D5F"/>
    <w:rsid w:val="00131709"/>
    <w:rsid w:val="001318F7"/>
    <w:rsid w:val="001324A2"/>
    <w:rsid w:val="00132F7E"/>
    <w:rsid w:val="00133393"/>
    <w:rsid w:val="001337BC"/>
    <w:rsid w:val="0013393E"/>
    <w:rsid w:val="00134574"/>
    <w:rsid w:val="00134BB9"/>
    <w:rsid w:val="00134C1C"/>
    <w:rsid w:val="00134D3A"/>
    <w:rsid w:val="001358F0"/>
    <w:rsid w:val="001359B9"/>
    <w:rsid w:val="00136249"/>
    <w:rsid w:val="001365F7"/>
    <w:rsid w:val="00136E40"/>
    <w:rsid w:val="001377E8"/>
    <w:rsid w:val="0013797E"/>
    <w:rsid w:val="00140914"/>
    <w:rsid w:val="00140CC2"/>
    <w:rsid w:val="0014159D"/>
    <w:rsid w:val="0014196C"/>
    <w:rsid w:val="00142C05"/>
    <w:rsid w:val="001436CD"/>
    <w:rsid w:val="00143751"/>
    <w:rsid w:val="0014450B"/>
    <w:rsid w:val="0014477A"/>
    <w:rsid w:val="00144825"/>
    <w:rsid w:val="00144BAF"/>
    <w:rsid w:val="00144CEE"/>
    <w:rsid w:val="00145A9A"/>
    <w:rsid w:val="00145E17"/>
    <w:rsid w:val="00145EB2"/>
    <w:rsid w:val="00145FA1"/>
    <w:rsid w:val="001476ED"/>
    <w:rsid w:val="00147730"/>
    <w:rsid w:val="00147AB6"/>
    <w:rsid w:val="00147CEB"/>
    <w:rsid w:val="001500D7"/>
    <w:rsid w:val="00150178"/>
    <w:rsid w:val="0015044B"/>
    <w:rsid w:val="001507AE"/>
    <w:rsid w:val="00150BFD"/>
    <w:rsid w:val="001515C2"/>
    <w:rsid w:val="00151870"/>
    <w:rsid w:val="001530FE"/>
    <w:rsid w:val="00153553"/>
    <w:rsid w:val="00153D13"/>
    <w:rsid w:val="00154246"/>
    <w:rsid w:val="0015473F"/>
    <w:rsid w:val="00154E84"/>
    <w:rsid w:val="00155619"/>
    <w:rsid w:val="00155C1B"/>
    <w:rsid w:val="00156347"/>
    <w:rsid w:val="001565FB"/>
    <w:rsid w:val="00156754"/>
    <w:rsid w:val="0015707E"/>
    <w:rsid w:val="00157317"/>
    <w:rsid w:val="001575FB"/>
    <w:rsid w:val="00157A3B"/>
    <w:rsid w:val="001611EE"/>
    <w:rsid w:val="00161D66"/>
    <w:rsid w:val="0016228A"/>
    <w:rsid w:val="0016285D"/>
    <w:rsid w:val="001629B0"/>
    <w:rsid w:val="00162EBE"/>
    <w:rsid w:val="001645F7"/>
    <w:rsid w:val="001653FB"/>
    <w:rsid w:val="001654D9"/>
    <w:rsid w:val="00165664"/>
    <w:rsid w:val="001659A5"/>
    <w:rsid w:val="00165B78"/>
    <w:rsid w:val="00165D95"/>
    <w:rsid w:val="001669F3"/>
    <w:rsid w:val="00167AD1"/>
    <w:rsid w:val="00167C5A"/>
    <w:rsid w:val="00167F40"/>
    <w:rsid w:val="00170EEA"/>
    <w:rsid w:val="001711F2"/>
    <w:rsid w:val="00171ECF"/>
    <w:rsid w:val="00172474"/>
    <w:rsid w:val="00172E48"/>
    <w:rsid w:val="0017351B"/>
    <w:rsid w:val="001738A3"/>
    <w:rsid w:val="00173F8D"/>
    <w:rsid w:val="00174368"/>
    <w:rsid w:val="00174463"/>
    <w:rsid w:val="00174A63"/>
    <w:rsid w:val="00174E32"/>
    <w:rsid w:val="00175A29"/>
    <w:rsid w:val="00177DE0"/>
    <w:rsid w:val="001809A4"/>
    <w:rsid w:val="001813B1"/>
    <w:rsid w:val="0018147C"/>
    <w:rsid w:val="00181B5F"/>
    <w:rsid w:val="00181CBC"/>
    <w:rsid w:val="00182655"/>
    <w:rsid w:val="00182D50"/>
    <w:rsid w:val="00182D94"/>
    <w:rsid w:val="00183829"/>
    <w:rsid w:val="001838F7"/>
    <w:rsid w:val="00184E05"/>
    <w:rsid w:val="001856BA"/>
    <w:rsid w:val="00185BD9"/>
    <w:rsid w:val="00185C23"/>
    <w:rsid w:val="00186AE5"/>
    <w:rsid w:val="0018703B"/>
    <w:rsid w:val="00187448"/>
    <w:rsid w:val="00187D50"/>
    <w:rsid w:val="00190703"/>
    <w:rsid w:val="00190E04"/>
    <w:rsid w:val="00191055"/>
    <w:rsid w:val="0019189D"/>
    <w:rsid w:val="00191DE0"/>
    <w:rsid w:val="00192448"/>
    <w:rsid w:val="001925C5"/>
    <w:rsid w:val="001932D3"/>
    <w:rsid w:val="00193A37"/>
    <w:rsid w:val="00194CA2"/>
    <w:rsid w:val="0019519D"/>
    <w:rsid w:val="001958B7"/>
    <w:rsid w:val="0019663A"/>
    <w:rsid w:val="00196B95"/>
    <w:rsid w:val="00196CA9"/>
    <w:rsid w:val="00197037"/>
    <w:rsid w:val="00197138"/>
    <w:rsid w:val="001971CD"/>
    <w:rsid w:val="00197391"/>
    <w:rsid w:val="001974C6"/>
    <w:rsid w:val="00197657"/>
    <w:rsid w:val="001A029E"/>
    <w:rsid w:val="001A076F"/>
    <w:rsid w:val="001A1462"/>
    <w:rsid w:val="001A209F"/>
    <w:rsid w:val="001A21F5"/>
    <w:rsid w:val="001A2975"/>
    <w:rsid w:val="001A36D7"/>
    <w:rsid w:val="001A383E"/>
    <w:rsid w:val="001A397E"/>
    <w:rsid w:val="001A39F1"/>
    <w:rsid w:val="001A417F"/>
    <w:rsid w:val="001A5867"/>
    <w:rsid w:val="001A5EED"/>
    <w:rsid w:val="001A61D3"/>
    <w:rsid w:val="001A6282"/>
    <w:rsid w:val="001A63F3"/>
    <w:rsid w:val="001A6707"/>
    <w:rsid w:val="001A6C95"/>
    <w:rsid w:val="001B0229"/>
    <w:rsid w:val="001B04F0"/>
    <w:rsid w:val="001B088D"/>
    <w:rsid w:val="001B0B01"/>
    <w:rsid w:val="001B116A"/>
    <w:rsid w:val="001B17DF"/>
    <w:rsid w:val="001B1B55"/>
    <w:rsid w:val="001B1C9F"/>
    <w:rsid w:val="001B1FFA"/>
    <w:rsid w:val="001B2654"/>
    <w:rsid w:val="001B3323"/>
    <w:rsid w:val="001B3699"/>
    <w:rsid w:val="001B3BB0"/>
    <w:rsid w:val="001B3D0A"/>
    <w:rsid w:val="001B401D"/>
    <w:rsid w:val="001B546F"/>
    <w:rsid w:val="001B6D34"/>
    <w:rsid w:val="001B6ED0"/>
    <w:rsid w:val="001B73F1"/>
    <w:rsid w:val="001B7B61"/>
    <w:rsid w:val="001B7C7F"/>
    <w:rsid w:val="001C07B5"/>
    <w:rsid w:val="001C0D9A"/>
    <w:rsid w:val="001C0F00"/>
    <w:rsid w:val="001C13BD"/>
    <w:rsid w:val="001C142D"/>
    <w:rsid w:val="001C1BB4"/>
    <w:rsid w:val="001C231D"/>
    <w:rsid w:val="001C2710"/>
    <w:rsid w:val="001C2BFC"/>
    <w:rsid w:val="001C2F20"/>
    <w:rsid w:val="001C3412"/>
    <w:rsid w:val="001C3537"/>
    <w:rsid w:val="001C3848"/>
    <w:rsid w:val="001C3976"/>
    <w:rsid w:val="001C3F5D"/>
    <w:rsid w:val="001C461E"/>
    <w:rsid w:val="001C53D0"/>
    <w:rsid w:val="001C549D"/>
    <w:rsid w:val="001C553A"/>
    <w:rsid w:val="001C5C0B"/>
    <w:rsid w:val="001C5D7D"/>
    <w:rsid w:val="001C5EB1"/>
    <w:rsid w:val="001C6B30"/>
    <w:rsid w:val="001C6E74"/>
    <w:rsid w:val="001C6F59"/>
    <w:rsid w:val="001C6FEB"/>
    <w:rsid w:val="001C752A"/>
    <w:rsid w:val="001C7A58"/>
    <w:rsid w:val="001D07FB"/>
    <w:rsid w:val="001D0940"/>
    <w:rsid w:val="001D0E28"/>
    <w:rsid w:val="001D1622"/>
    <w:rsid w:val="001D2758"/>
    <w:rsid w:val="001D2F8A"/>
    <w:rsid w:val="001D3817"/>
    <w:rsid w:val="001D3B3D"/>
    <w:rsid w:val="001D4E84"/>
    <w:rsid w:val="001D69DC"/>
    <w:rsid w:val="001D6B09"/>
    <w:rsid w:val="001D73E2"/>
    <w:rsid w:val="001D7801"/>
    <w:rsid w:val="001D7C08"/>
    <w:rsid w:val="001E017F"/>
    <w:rsid w:val="001E0A66"/>
    <w:rsid w:val="001E0F34"/>
    <w:rsid w:val="001E29D5"/>
    <w:rsid w:val="001E2CDE"/>
    <w:rsid w:val="001E2D96"/>
    <w:rsid w:val="001E2F80"/>
    <w:rsid w:val="001E2FDC"/>
    <w:rsid w:val="001E3EB1"/>
    <w:rsid w:val="001E4731"/>
    <w:rsid w:val="001E4F9B"/>
    <w:rsid w:val="001E51F1"/>
    <w:rsid w:val="001E55A9"/>
    <w:rsid w:val="001E59FA"/>
    <w:rsid w:val="001E5AD8"/>
    <w:rsid w:val="001E6B14"/>
    <w:rsid w:val="001E6C50"/>
    <w:rsid w:val="001E6C73"/>
    <w:rsid w:val="001E728F"/>
    <w:rsid w:val="001E7A13"/>
    <w:rsid w:val="001E7AE3"/>
    <w:rsid w:val="001E7B76"/>
    <w:rsid w:val="001F0095"/>
    <w:rsid w:val="001F00B9"/>
    <w:rsid w:val="001F04F8"/>
    <w:rsid w:val="001F05C8"/>
    <w:rsid w:val="001F073F"/>
    <w:rsid w:val="001F09B9"/>
    <w:rsid w:val="001F1B37"/>
    <w:rsid w:val="001F24AB"/>
    <w:rsid w:val="001F2613"/>
    <w:rsid w:val="001F2D95"/>
    <w:rsid w:val="001F41C6"/>
    <w:rsid w:val="001F4C89"/>
    <w:rsid w:val="001F541C"/>
    <w:rsid w:val="001F55C3"/>
    <w:rsid w:val="001F583A"/>
    <w:rsid w:val="001F5C85"/>
    <w:rsid w:val="001F6781"/>
    <w:rsid w:val="001F6A82"/>
    <w:rsid w:val="001F7238"/>
    <w:rsid w:val="001F7740"/>
    <w:rsid w:val="00200E52"/>
    <w:rsid w:val="00200F39"/>
    <w:rsid w:val="00201081"/>
    <w:rsid w:val="00201A59"/>
    <w:rsid w:val="00201DF4"/>
    <w:rsid w:val="002022D7"/>
    <w:rsid w:val="00202A4F"/>
    <w:rsid w:val="0020336D"/>
    <w:rsid w:val="00203862"/>
    <w:rsid w:val="0020471F"/>
    <w:rsid w:val="00204AC2"/>
    <w:rsid w:val="00204FEA"/>
    <w:rsid w:val="0020542B"/>
    <w:rsid w:val="00206600"/>
    <w:rsid w:val="00207405"/>
    <w:rsid w:val="00207FC9"/>
    <w:rsid w:val="002106C4"/>
    <w:rsid w:val="00211B1A"/>
    <w:rsid w:val="00212360"/>
    <w:rsid w:val="00212639"/>
    <w:rsid w:val="00212DB1"/>
    <w:rsid w:val="0021362E"/>
    <w:rsid w:val="00213973"/>
    <w:rsid w:val="00213F09"/>
    <w:rsid w:val="00213F64"/>
    <w:rsid w:val="0021527D"/>
    <w:rsid w:val="002173BC"/>
    <w:rsid w:val="002174ED"/>
    <w:rsid w:val="002175C1"/>
    <w:rsid w:val="00217863"/>
    <w:rsid w:val="002179BB"/>
    <w:rsid w:val="00217DBE"/>
    <w:rsid w:val="0022012F"/>
    <w:rsid w:val="0022081D"/>
    <w:rsid w:val="002208C0"/>
    <w:rsid w:val="00220DBC"/>
    <w:rsid w:val="002210F0"/>
    <w:rsid w:val="002213FE"/>
    <w:rsid w:val="00221688"/>
    <w:rsid w:val="00221A1D"/>
    <w:rsid w:val="00221BD6"/>
    <w:rsid w:val="00221DCF"/>
    <w:rsid w:val="00221F78"/>
    <w:rsid w:val="00222014"/>
    <w:rsid w:val="002222F0"/>
    <w:rsid w:val="002224B6"/>
    <w:rsid w:val="0022334D"/>
    <w:rsid w:val="0022396A"/>
    <w:rsid w:val="00223CE9"/>
    <w:rsid w:val="00224038"/>
    <w:rsid w:val="00224217"/>
    <w:rsid w:val="00224846"/>
    <w:rsid w:val="00225134"/>
    <w:rsid w:val="0022540F"/>
    <w:rsid w:val="0022557E"/>
    <w:rsid w:val="002261B4"/>
    <w:rsid w:val="002262DB"/>
    <w:rsid w:val="00227583"/>
    <w:rsid w:val="00230044"/>
    <w:rsid w:val="002304C2"/>
    <w:rsid w:val="0023071A"/>
    <w:rsid w:val="002308B7"/>
    <w:rsid w:val="00231239"/>
    <w:rsid w:val="002326D2"/>
    <w:rsid w:val="00232DA1"/>
    <w:rsid w:val="00232DC6"/>
    <w:rsid w:val="00233F6B"/>
    <w:rsid w:val="002342DC"/>
    <w:rsid w:val="0023432C"/>
    <w:rsid w:val="00234554"/>
    <w:rsid w:val="0023484E"/>
    <w:rsid w:val="002349AB"/>
    <w:rsid w:val="00234A9C"/>
    <w:rsid w:val="00234E4B"/>
    <w:rsid w:val="002366B4"/>
    <w:rsid w:val="00236FFE"/>
    <w:rsid w:val="00237361"/>
    <w:rsid w:val="0023748D"/>
    <w:rsid w:val="00237781"/>
    <w:rsid w:val="0023780B"/>
    <w:rsid w:val="002406E6"/>
    <w:rsid w:val="00240D67"/>
    <w:rsid w:val="00241175"/>
    <w:rsid w:val="00241A82"/>
    <w:rsid w:val="00242AF7"/>
    <w:rsid w:val="00242D59"/>
    <w:rsid w:val="002431B6"/>
    <w:rsid w:val="00244483"/>
    <w:rsid w:val="002451FB"/>
    <w:rsid w:val="00245AA3"/>
    <w:rsid w:val="0024670D"/>
    <w:rsid w:val="00246861"/>
    <w:rsid w:val="00246EBE"/>
    <w:rsid w:val="00247C9D"/>
    <w:rsid w:val="00247D12"/>
    <w:rsid w:val="0025045C"/>
    <w:rsid w:val="0025068F"/>
    <w:rsid w:val="00250F4D"/>
    <w:rsid w:val="00250F6B"/>
    <w:rsid w:val="00251429"/>
    <w:rsid w:val="002529C9"/>
    <w:rsid w:val="002529FA"/>
    <w:rsid w:val="00252E08"/>
    <w:rsid w:val="00252FCB"/>
    <w:rsid w:val="00253A71"/>
    <w:rsid w:val="00253C94"/>
    <w:rsid w:val="00253CFE"/>
    <w:rsid w:val="002542E7"/>
    <w:rsid w:val="00254581"/>
    <w:rsid w:val="00254B49"/>
    <w:rsid w:val="0025539E"/>
    <w:rsid w:val="002556AF"/>
    <w:rsid w:val="002556F9"/>
    <w:rsid w:val="00256906"/>
    <w:rsid w:val="002574C9"/>
    <w:rsid w:val="00257FC2"/>
    <w:rsid w:val="002608B1"/>
    <w:rsid w:val="0026094E"/>
    <w:rsid w:val="00260E2D"/>
    <w:rsid w:val="002619CB"/>
    <w:rsid w:val="00261A87"/>
    <w:rsid w:val="00261A88"/>
    <w:rsid w:val="002621AE"/>
    <w:rsid w:val="00262D60"/>
    <w:rsid w:val="00262E71"/>
    <w:rsid w:val="00263379"/>
    <w:rsid w:val="002633D8"/>
    <w:rsid w:val="00264E3E"/>
    <w:rsid w:val="002658A7"/>
    <w:rsid w:val="00265B7A"/>
    <w:rsid w:val="002660F8"/>
    <w:rsid w:val="0026611A"/>
    <w:rsid w:val="002668D3"/>
    <w:rsid w:val="00266E99"/>
    <w:rsid w:val="002677EC"/>
    <w:rsid w:val="00267D3A"/>
    <w:rsid w:val="00270123"/>
    <w:rsid w:val="002705E6"/>
    <w:rsid w:val="00270A0D"/>
    <w:rsid w:val="0027155D"/>
    <w:rsid w:val="00271FD3"/>
    <w:rsid w:val="002720C2"/>
    <w:rsid w:val="00272278"/>
    <w:rsid w:val="00273772"/>
    <w:rsid w:val="0027440F"/>
    <w:rsid w:val="002744E6"/>
    <w:rsid w:val="00275505"/>
    <w:rsid w:val="00275A03"/>
    <w:rsid w:val="00276179"/>
    <w:rsid w:val="00276D04"/>
    <w:rsid w:val="00277795"/>
    <w:rsid w:val="00277BC3"/>
    <w:rsid w:val="00280000"/>
    <w:rsid w:val="00280812"/>
    <w:rsid w:val="00280CCC"/>
    <w:rsid w:val="00281B3B"/>
    <w:rsid w:val="00281FBF"/>
    <w:rsid w:val="0028221F"/>
    <w:rsid w:val="00282654"/>
    <w:rsid w:val="00282833"/>
    <w:rsid w:val="00282AF0"/>
    <w:rsid w:val="00282BDF"/>
    <w:rsid w:val="00283749"/>
    <w:rsid w:val="00283819"/>
    <w:rsid w:val="00283946"/>
    <w:rsid w:val="00283AEE"/>
    <w:rsid w:val="00283E2E"/>
    <w:rsid w:val="00284445"/>
    <w:rsid w:val="00284653"/>
    <w:rsid w:val="002847F6"/>
    <w:rsid w:val="00284858"/>
    <w:rsid w:val="00284E1D"/>
    <w:rsid w:val="00284E38"/>
    <w:rsid w:val="0028517D"/>
    <w:rsid w:val="00285336"/>
    <w:rsid w:val="0028592B"/>
    <w:rsid w:val="00285F86"/>
    <w:rsid w:val="002869A5"/>
    <w:rsid w:val="00286B3E"/>
    <w:rsid w:val="00286C4A"/>
    <w:rsid w:val="00286D11"/>
    <w:rsid w:val="002875A4"/>
    <w:rsid w:val="00287D10"/>
    <w:rsid w:val="00290144"/>
    <w:rsid w:val="00290E7D"/>
    <w:rsid w:val="00290FFC"/>
    <w:rsid w:val="0029106E"/>
    <w:rsid w:val="00291761"/>
    <w:rsid w:val="00291877"/>
    <w:rsid w:val="00291889"/>
    <w:rsid w:val="002918FF"/>
    <w:rsid w:val="00291E70"/>
    <w:rsid w:val="00292AFA"/>
    <w:rsid w:val="00292E55"/>
    <w:rsid w:val="0029322B"/>
    <w:rsid w:val="00293899"/>
    <w:rsid w:val="00293FB3"/>
    <w:rsid w:val="00294007"/>
    <w:rsid w:val="0029476A"/>
    <w:rsid w:val="00294A67"/>
    <w:rsid w:val="00296DD0"/>
    <w:rsid w:val="00297745"/>
    <w:rsid w:val="002977F5"/>
    <w:rsid w:val="00297A58"/>
    <w:rsid w:val="00297CDB"/>
    <w:rsid w:val="00297E0E"/>
    <w:rsid w:val="002A0090"/>
    <w:rsid w:val="002A0D3C"/>
    <w:rsid w:val="002A0EAE"/>
    <w:rsid w:val="002A159D"/>
    <w:rsid w:val="002A1FFD"/>
    <w:rsid w:val="002A226F"/>
    <w:rsid w:val="002A281B"/>
    <w:rsid w:val="002A2AFF"/>
    <w:rsid w:val="002A2CEA"/>
    <w:rsid w:val="002A39EE"/>
    <w:rsid w:val="002A4416"/>
    <w:rsid w:val="002A4437"/>
    <w:rsid w:val="002A450A"/>
    <w:rsid w:val="002A4848"/>
    <w:rsid w:val="002A4FF3"/>
    <w:rsid w:val="002A5157"/>
    <w:rsid w:val="002A51A2"/>
    <w:rsid w:val="002A5248"/>
    <w:rsid w:val="002A54D5"/>
    <w:rsid w:val="002A6D45"/>
    <w:rsid w:val="002A6EFA"/>
    <w:rsid w:val="002A7394"/>
    <w:rsid w:val="002A7BB2"/>
    <w:rsid w:val="002A7DF1"/>
    <w:rsid w:val="002A7E14"/>
    <w:rsid w:val="002A7E2A"/>
    <w:rsid w:val="002A7FEF"/>
    <w:rsid w:val="002B11DD"/>
    <w:rsid w:val="002B1634"/>
    <w:rsid w:val="002B1CDE"/>
    <w:rsid w:val="002B269E"/>
    <w:rsid w:val="002B2BDF"/>
    <w:rsid w:val="002B2C4D"/>
    <w:rsid w:val="002B2F3C"/>
    <w:rsid w:val="002B317C"/>
    <w:rsid w:val="002B3E61"/>
    <w:rsid w:val="002B417F"/>
    <w:rsid w:val="002B4C35"/>
    <w:rsid w:val="002B5550"/>
    <w:rsid w:val="002B56FB"/>
    <w:rsid w:val="002B5727"/>
    <w:rsid w:val="002B5960"/>
    <w:rsid w:val="002B7877"/>
    <w:rsid w:val="002B7BE5"/>
    <w:rsid w:val="002B7DC7"/>
    <w:rsid w:val="002B7EA3"/>
    <w:rsid w:val="002C0F1C"/>
    <w:rsid w:val="002C1C1B"/>
    <w:rsid w:val="002C1C64"/>
    <w:rsid w:val="002C2593"/>
    <w:rsid w:val="002C2CC9"/>
    <w:rsid w:val="002C33C2"/>
    <w:rsid w:val="002C375F"/>
    <w:rsid w:val="002C3958"/>
    <w:rsid w:val="002C3A21"/>
    <w:rsid w:val="002C48C1"/>
    <w:rsid w:val="002C4BA4"/>
    <w:rsid w:val="002C54FD"/>
    <w:rsid w:val="002C6558"/>
    <w:rsid w:val="002C707A"/>
    <w:rsid w:val="002C7466"/>
    <w:rsid w:val="002D0DC9"/>
    <w:rsid w:val="002D0ED8"/>
    <w:rsid w:val="002D1230"/>
    <w:rsid w:val="002D12CE"/>
    <w:rsid w:val="002D1DE8"/>
    <w:rsid w:val="002D1E64"/>
    <w:rsid w:val="002D285D"/>
    <w:rsid w:val="002D2C77"/>
    <w:rsid w:val="002D35F2"/>
    <w:rsid w:val="002D37B9"/>
    <w:rsid w:val="002D3DBE"/>
    <w:rsid w:val="002D3FEE"/>
    <w:rsid w:val="002D43B2"/>
    <w:rsid w:val="002D43F9"/>
    <w:rsid w:val="002D4578"/>
    <w:rsid w:val="002D4597"/>
    <w:rsid w:val="002D4678"/>
    <w:rsid w:val="002D49A9"/>
    <w:rsid w:val="002D5CF4"/>
    <w:rsid w:val="002D6450"/>
    <w:rsid w:val="002D694A"/>
    <w:rsid w:val="002D6DBF"/>
    <w:rsid w:val="002D731C"/>
    <w:rsid w:val="002D79DA"/>
    <w:rsid w:val="002E0919"/>
    <w:rsid w:val="002E0967"/>
    <w:rsid w:val="002E0983"/>
    <w:rsid w:val="002E0ADF"/>
    <w:rsid w:val="002E0C51"/>
    <w:rsid w:val="002E0CDD"/>
    <w:rsid w:val="002E102F"/>
    <w:rsid w:val="002E189A"/>
    <w:rsid w:val="002E20B6"/>
    <w:rsid w:val="002E4473"/>
    <w:rsid w:val="002E498A"/>
    <w:rsid w:val="002E5328"/>
    <w:rsid w:val="002E5B29"/>
    <w:rsid w:val="002E616A"/>
    <w:rsid w:val="002E633C"/>
    <w:rsid w:val="002E6516"/>
    <w:rsid w:val="002E6B1D"/>
    <w:rsid w:val="002F001D"/>
    <w:rsid w:val="002F0314"/>
    <w:rsid w:val="002F0776"/>
    <w:rsid w:val="002F07E5"/>
    <w:rsid w:val="002F1347"/>
    <w:rsid w:val="002F1D6E"/>
    <w:rsid w:val="002F2D33"/>
    <w:rsid w:val="002F32F6"/>
    <w:rsid w:val="002F3B3A"/>
    <w:rsid w:val="002F46F7"/>
    <w:rsid w:val="002F481C"/>
    <w:rsid w:val="002F49D9"/>
    <w:rsid w:val="002F4F46"/>
    <w:rsid w:val="002F4F9F"/>
    <w:rsid w:val="002F5AD4"/>
    <w:rsid w:val="002F6047"/>
    <w:rsid w:val="002F6EAA"/>
    <w:rsid w:val="002F718A"/>
    <w:rsid w:val="0030105E"/>
    <w:rsid w:val="003011CB"/>
    <w:rsid w:val="00301691"/>
    <w:rsid w:val="00301901"/>
    <w:rsid w:val="0030293A"/>
    <w:rsid w:val="00303462"/>
    <w:rsid w:val="003036FE"/>
    <w:rsid w:val="0030392E"/>
    <w:rsid w:val="00303B5D"/>
    <w:rsid w:val="00303CCB"/>
    <w:rsid w:val="00303DD3"/>
    <w:rsid w:val="00303EA8"/>
    <w:rsid w:val="003043E7"/>
    <w:rsid w:val="00305513"/>
    <w:rsid w:val="003056E1"/>
    <w:rsid w:val="00306C9F"/>
    <w:rsid w:val="0031003E"/>
    <w:rsid w:val="003103B9"/>
    <w:rsid w:val="003103D7"/>
    <w:rsid w:val="00310539"/>
    <w:rsid w:val="00310E0B"/>
    <w:rsid w:val="00311842"/>
    <w:rsid w:val="00311AF5"/>
    <w:rsid w:val="00311F1A"/>
    <w:rsid w:val="0031280F"/>
    <w:rsid w:val="00312B42"/>
    <w:rsid w:val="0031336D"/>
    <w:rsid w:val="00313575"/>
    <w:rsid w:val="00313EA5"/>
    <w:rsid w:val="0031478A"/>
    <w:rsid w:val="00314E8A"/>
    <w:rsid w:val="0031505E"/>
    <w:rsid w:val="00315396"/>
    <w:rsid w:val="0031556A"/>
    <w:rsid w:val="00315664"/>
    <w:rsid w:val="0031576E"/>
    <w:rsid w:val="00315952"/>
    <w:rsid w:val="00315D54"/>
    <w:rsid w:val="00316406"/>
    <w:rsid w:val="0031681D"/>
    <w:rsid w:val="00316841"/>
    <w:rsid w:val="00320201"/>
    <w:rsid w:val="003208CF"/>
    <w:rsid w:val="00320A09"/>
    <w:rsid w:val="00320CA7"/>
    <w:rsid w:val="00322513"/>
    <w:rsid w:val="00322682"/>
    <w:rsid w:val="003226C3"/>
    <w:rsid w:val="0032284A"/>
    <w:rsid w:val="00322A8B"/>
    <w:rsid w:val="00322D7F"/>
    <w:rsid w:val="00323F07"/>
    <w:rsid w:val="00324275"/>
    <w:rsid w:val="00324462"/>
    <w:rsid w:val="003245DA"/>
    <w:rsid w:val="00324B50"/>
    <w:rsid w:val="00324D6C"/>
    <w:rsid w:val="003254FF"/>
    <w:rsid w:val="00325AEE"/>
    <w:rsid w:val="00325B09"/>
    <w:rsid w:val="003265B7"/>
    <w:rsid w:val="003267FA"/>
    <w:rsid w:val="00326899"/>
    <w:rsid w:val="00326AAA"/>
    <w:rsid w:val="00326FD2"/>
    <w:rsid w:val="003275EB"/>
    <w:rsid w:val="003277DE"/>
    <w:rsid w:val="00330219"/>
    <w:rsid w:val="00330E95"/>
    <w:rsid w:val="003312F7"/>
    <w:rsid w:val="00331570"/>
    <w:rsid w:val="0033171B"/>
    <w:rsid w:val="0033239C"/>
    <w:rsid w:val="00332BB2"/>
    <w:rsid w:val="00332C33"/>
    <w:rsid w:val="0033337D"/>
    <w:rsid w:val="00333767"/>
    <w:rsid w:val="00333920"/>
    <w:rsid w:val="00333B4F"/>
    <w:rsid w:val="00333BB4"/>
    <w:rsid w:val="00333E65"/>
    <w:rsid w:val="003343C0"/>
    <w:rsid w:val="00334905"/>
    <w:rsid w:val="00335985"/>
    <w:rsid w:val="003359A5"/>
    <w:rsid w:val="00336BC1"/>
    <w:rsid w:val="003370E5"/>
    <w:rsid w:val="003372DB"/>
    <w:rsid w:val="003378D8"/>
    <w:rsid w:val="003400C0"/>
    <w:rsid w:val="0034015B"/>
    <w:rsid w:val="003404FD"/>
    <w:rsid w:val="00340515"/>
    <w:rsid w:val="00340A79"/>
    <w:rsid w:val="00341004"/>
    <w:rsid w:val="00342181"/>
    <w:rsid w:val="003422EC"/>
    <w:rsid w:val="00342582"/>
    <w:rsid w:val="00342B54"/>
    <w:rsid w:val="00342CA4"/>
    <w:rsid w:val="00342DDE"/>
    <w:rsid w:val="00343483"/>
    <w:rsid w:val="0034362D"/>
    <w:rsid w:val="00343F24"/>
    <w:rsid w:val="00343FC1"/>
    <w:rsid w:val="00344565"/>
    <w:rsid w:val="00344748"/>
    <w:rsid w:val="003448B4"/>
    <w:rsid w:val="00344A74"/>
    <w:rsid w:val="00344EBD"/>
    <w:rsid w:val="00345235"/>
    <w:rsid w:val="003452EB"/>
    <w:rsid w:val="00345B91"/>
    <w:rsid w:val="0034676A"/>
    <w:rsid w:val="00346D1B"/>
    <w:rsid w:val="00346D76"/>
    <w:rsid w:val="00346E0B"/>
    <w:rsid w:val="003471A2"/>
    <w:rsid w:val="00347326"/>
    <w:rsid w:val="003475B7"/>
    <w:rsid w:val="00347734"/>
    <w:rsid w:val="00347CEA"/>
    <w:rsid w:val="003506D4"/>
    <w:rsid w:val="00350905"/>
    <w:rsid w:val="00350C3D"/>
    <w:rsid w:val="003510AF"/>
    <w:rsid w:val="00351362"/>
    <w:rsid w:val="0035141A"/>
    <w:rsid w:val="003517B3"/>
    <w:rsid w:val="0035191F"/>
    <w:rsid w:val="00351B76"/>
    <w:rsid w:val="00351DF6"/>
    <w:rsid w:val="00352054"/>
    <w:rsid w:val="003524EE"/>
    <w:rsid w:val="00352C7A"/>
    <w:rsid w:val="003536FA"/>
    <w:rsid w:val="0035383E"/>
    <w:rsid w:val="0035464E"/>
    <w:rsid w:val="00354929"/>
    <w:rsid w:val="00354BEC"/>
    <w:rsid w:val="00355530"/>
    <w:rsid w:val="00355701"/>
    <w:rsid w:val="00355742"/>
    <w:rsid w:val="00355A07"/>
    <w:rsid w:val="003573B4"/>
    <w:rsid w:val="003575AB"/>
    <w:rsid w:val="00357AE1"/>
    <w:rsid w:val="0036002D"/>
    <w:rsid w:val="00360245"/>
    <w:rsid w:val="00360407"/>
    <w:rsid w:val="00360690"/>
    <w:rsid w:val="0036081E"/>
    <w:rsid w:val="003608A7"/>
    <w:rsid w:val="00360B50"/>
    <w:rsid w:val="00360F02"/>
    <w:rsid w:val="00360F88"/>
    <w:rsid w:val="0036162F"/>
    <w:rsid w:val="00362B41"/>
    <w:rsid w:val="00362FC5"/>
    <w:rsid w:val="00363231"/>
    <w:rsid w:val="003635E0"/>
    <w:rsid w:val="0036361D"/>
    <w:rsid w:val="00364A1B"/>
    <w:rsid w:val="00364AA0"/>
    <w:rsid w:val="00364D49"/>
    <w:rsid w:val="003650DA"/>
    <w:rsid w:val="00365577"/>
    <w:rsid w:val="003656DF"/>
    <w:rsid w:val="00365A21"/>
    <w:rsid w:val="00366190"/>
    <w:rsid w:val="0036621A"/>
    <w:rsid w:val="00366DE3"/>
    <w:rsid w:val="00366EA3"/>
    <w:rsid w:val="0036717A"/>
    <w:rsid w:val="00367589"/>
    <w:rsid w:val="00367C7F"/>
    <w:rsid w:val="00367DD9"/>
    <w:rsid w:val="00370980"/>
    <w:rsid w:val="00371097"/>
    <w:rsid w:val="00371283"/>
    <w:rsid w:val="00372120"/>
    <w:rsid w:val="00372552"/>
    <w:rsid w:val="0037265A"/>
    <w:rsid w:val="00372F0C"/>
    <w:rsid w:val="00373BB0"/>
    <w:rsid w:val="0037402C"/>
    <w:rsid w:val="0037513F"/>
    <w:rsid w:val="003754B9"/>
    <w:rsid w:val="00375AE1"/>
    <w:rsid w:val="00375E3A"/>
    <w:rsid w:val="003765AF"/>
    <w:rsid w:val="00376691"/>
    <w:rsid w:val="00377205"/>
    <w:rsid w:val="00377446"/>
    <w:rsid w:val="00377731"/>
    <w:rsid w:val="00377F01"/>
    <w:rsid w:val="00380694"/>
    <w:rsid w:val="003806BE"/>
    <w:rsid w:val="0038086E"/>
    <w:rsid w:val="00380B90"/>
    <w:rsid w:val="00380D2C"/>
    <w:rsid w:val="00381014"/>
    <w:rsid w:val="003812E2"/>
    <w:rsid w:val="003813D8"/>
    <w:rsid w:val="00381866"/>
    <w:rsid w:val="00381AB6"/>
    <w:rsid w:val="00381CBB"/>
    <w:rsid w:val="00381EC0"/>
    <w:rsid w:val="00382140"/>
    <w:rsid w:val="00382F00"/>
    <w:rsid w:val="003835AD"/>
    <w:rsid w:val="0038386E"/>
    <w:rsid w:val="00383BF1"/>
    <w:rsid w:val="00383E92"/>
    <w:rsid w:val="00384780"/>
    <w:rsid w:val="003847E4"/>
    <w:rsid w:val="003849D1"/>
    <w:rsid w:val="00384A8A"/>
    <w:rsid w:val="00384B6B"/>
    <w:rsid w:val="00385039"/>
    <w:rsid w:val="003859B0"/>
    <w:rsid w:val="0038642D"/>
    <w:rsid w:val="003865C0"/>
    <w:rsid w:val="00386A04"/>
    <w:rsid w:val="00386B13"/>
    <w:rsid w:val="00386B88"/>
    <w:rsid w:val="003871F7"/>
    <w:rsid w:val="00387224"/>
    <w:rsid w:val="00387426"/>
    <w:rsid w:val="003875E4"/>
    <w:rsid w:val="00387B2A"/>
    <w:rsid w:val="00390A7C"/>
    <w:rsid w:val="00390F6A"/>
    <w:rsid w:val="00391DFB"/>
    <w:rsid w:val="00391F98"/>
    <w:rsid w:val="0039275C"/>
    <w:rsid w:val="00392978"/>
    <w:rsid w:val="00392E98"/>
    <w:rsid w:val="0039404A"/>
    <w:rsid w:val="003948DE"/>
    <w:rsid w:val="00394EB9"/>
    <w:rsid w:val="00395CCE"/>
    <w:rsid w:val="00395D7A"/>
    <w:rsid w:val="0039626B"/>
    <w:rsid w:val="003962F0"/>
    <w:rsid w:val="00397104"/>
    <w:rsid w:val="00397665"/>
    <w:rsid w:val="0039767F"/>
    <w:rsid w:val="00397DB6"/>
    <w:rsid w:val="003A0707"/>
    <w:rsid w:val="003A0C94"/>
    <w:rsid w:val="003A0FBC"/>
    <w:rsid w:val="003A1ECA"/>
    <w:rsid w:val="003A2676"/>
    <w:rsid w:val="003A3BD9"/>
    <w:rsid w:val="003A4975"/>
    <w:rsid w:val="003A4ACD"/>
    <w:rsid w:val="003A53FF"/>
    <w:rsid w:val="003A56A2"/>
    <w:rsid w:val="003A622F"/>
    <w:rsid w:val="003A6D9D"/>
    <w:rsid w:val="003A6EA1"/>
    <w:rsid w:val="003A73B5"/>
    <w:rsid w:val="003A743F"/>
    <w:rsid w:val="003A745E"/>
    <w:rsid w:val="003A7597"/>
    <w:rsid w:val="003A7986"/>
    <w:rsid w:val="003B040A"/>
    <w:rsid w:val="003B0829"/>
    <w:rsid w:val="003B0D65"/>
    <w:rsid w:val="003B0E42"/>
    <w:rsid w:val="003B1858"/>
    <w:rsid w:val="003B1C42"/>
    <w:rsid w:val="003B31AB"/>
    <w:rsid w:val="003B34D3"/>
    <w:rsid w:val="003B36AA"/>
    <w:rsid w:val="003B3838"/>
    <w:rsid w:val="003B3C07"/>
    <w:rsid w:val="003B4556"/>
    <w:rsid w:val="003B4BFF"/>
    <w:rsid w:val="003B55C0"/>
    <w:rsid w:val="003B58B2"/>
    <w:rsid w:val="003B6300"/>
    <w:rsid w:val="003B68C8"/>
    <w:rsid w:val="003B6D2C"/>
    <w:rsid w:val="003B6D3D"/>
    <w:rsid w:val="003B6F21"/>
    <w:rsid w:val="003B720E"/>
    <w:rsid w:val="003B7B75"/>
    <w:rsid w:val="003B7CA1"/>
    <w:rsid w:val="003C0750"/>
    <w:rsid w:val="003C0A67"/>
    <w:rsid w:val="003C0D01"/>
    <w:rsid w:val="003C1B0F"/>
    <w:rsid w:val="003C1E26"/>
    <w:rsid w:val="003C245D"/>
    <w:rsid w:val="003C3B26"/>
    <w:rsid w:val="003C3B92"/>
    <w:rsid w:val="003C48A4"/>
    <w:rsid w:val="003C4B10"/>
    <w:rsid w:val="003C5DB4"/>
    <w:rsid w:val="003C66E5"/>
    <w:rsid w:val="003C680C"/>
    <w:rsid w:val="003C6E53"/>
    <w:rsid w:val="003C71AC"/>
    <w:rsid w:val="003D0124"/>
    <w:rsid w:val="003D0A6A"/>
    <w:rsid w:val="003D13DD"/>
    <w:rsid w:val="003D15F1"/>
    <w:rsid w:val="003D17B5"/>
    <w:rsid w:val="003D1F8D"/>
    <w:rsid w:val="003D2353"/>
    <w:rsid w:val="003D259B"/>
    <w:rsid w:val="003D25C8"/>
    <w:rsid w:val="003D2E1C"/>
    <w:rsid w:val="003D3174"/>
    <w:rsid w:val="003D392C"/>
    <w:rsid w:val="003D3A3C"/>
    <w:rsid w:val="003D3E67"/>
    <w:rsid w:val="003D3F32"/>
    <w:rsid w:val="003D45B2"/>
    <w:rsid w:val="003D4728"/>
    <w:rsid w:val="003D4900"/>
    <w:rsid w:val="003D4FB4"/>
    <w:rsid w:val="003D6077"/>
    <w:rsid w:val="003D60ED"/>
    <w:rsid w:val="003D6811"/>
    <w:rsid w:val="003D71F9"/>
    <w:rsid w:val="003D765C"/>
    <w:rsid w:val="003D7976"/>
    <w:rsid w:val="003D7B48"/>
    <w:rsid w:val="003D7B80"/>
    <w:rsid w:val="003E00E2"/>
    <w:rsid w:val="003E02E2"/>
    <w:rsid w:val="003E035C"/>
    <w:rsid w:val="003E0F86"/>
    <w:rsid w:val="003E1E58"/>
    <w:rsid w:val="003E1FD5"/>
    <w:rsid w:val="003E2061"/>
    <w:rsid w:val="003E2C35"/>
    <w:rsid w:val="003E2D3D"/>
    <w:rsid w:val="003E3466"/>
    <w:rsid w:val="003E3517"/>
    <w:rsid w:val="003E3ED2"/>
    <w:rsid w:val="003E4076"/>
    <w:rsid w:val="003E4463"/>
    <w:rsid w:val="003E47F6"/>
    <w:rsid w:val="003E4C3B"/>
    <w:rsid w:val="003E5397"/>
    <w:rsid w:val="003E5505"/>
    <w:rsid w:val="003E5AD9"/>
    <w:rsid w:val="003E62DA"/>
    <w:rsid w:val="003E696F"/>
    <w:rsid w:val="003E6D9F"/>
    <w:rsid w:val="003E782A"/>
    <w:rsid w:val="003F003F"/>
    <w:rsid w:val="003F142C"/>
    <w:rsid w:val="003F1AB3"/>
    <w:rsid w:val="003F225A"/>
    <w:rsid w:val="003F2432"/>
    <w:rsid w:val="003F2583"/>
    <w:rsid w:val="003F34AE"/>
    <w:rsid w:val="003F36B6"/>
    <w:rsid w:val="003F4A37"/>
    <w:rsid w:val="003F4D88"/>
    <w:rsid w:val="003F4E42"/>
    <w:rsid w:val="003F549D"/>
    <w:rsid w:val="003F5767"/>
    <w:rsid w:val="003F59F5"/>
    <w:rsid w:val="003F5C08"/>
    <w:rsid w:val="003F61A6"/>
    <w:rsid w:val="003F68B2"/>
    <w:rsid w:val="003F6F55"/>
    <w:rsid w:val="003F7171"/>
    <w:rsid w:val="003F7A6C"/>
    <w:rsid w:val="00400371"/>
    <w:rsid w:val="0040044F"/>
    <w:rsid w:val="00400A41"/>
    <w:rsid w:val="00400F25"/>
    <w:rsid w:val="00400F26"/>
    <w:rsid w:val="00401F81"/>
    <w:rsid w:val="0040216B"/>
    <w:rsid w:val="00402195"/>
    <w:rsid w:val="00402B6F"/>
    <w:rsid w:val="00402BBE"/>
    <w:rsid w:val="004037B2"/>
    <w:rsid w:val="00403806"/>
    <w:rsid w:val="004057A4"/>
    <w:rsid w:val="004057F6"/>
    <w:rsid w:val="004058CA"/>
    <w:rsid w:val="0040590C"/>
    <w:rsid w:val="00405F4F"/>
    <w:rsid w:val="0040619A"/>
    <w:rsid w:val="00406462"/>
    <w:rsid w:val="00406F94"/>
    <w:rsid w:val="00406FC0"/>
    <w:rsid w:val="0040725E"/>
    <w:rsid w:val="0040779D"/>
    <w:rsid w:val="00407FB6"/>
    <w:rsid w:val="0041071F"/>
    <w:rsid w:val="00410AE6"/>
    <w:rsid w:val="0041103B"/>
    <w:rsid w:val="0041135B"/>
    <w:rsid w:val="0041169A"/>
    <w:rsid w:val="004118A5"/>
    <w:rsid w:val="00411AA1"/>
    <w:rsid w:val="00411E49"/>
    <w:rsid w:val="0041280C"/>
    <w:rsid w:val="00413196"/>
    <w:rsid w:val="0041367F"/>
    <w:rsid w:val="004139CA"/>
    <w:rsid w:val="00414245"/>
    <w:rsid w:val="00414A7D"/>
    <w:rsid w:val="00415C02"/>
    <w:rsid w:val="0041620E"/>
    <w:rsid w:val="0041685D"/>
    <w:rsid w:val="00417AB5"/>
    <w:rsid w:val="00417F68"/>
    <w:rsid w:val="0042003E"/>
    <w:rsid w:val="004202F7"/>
    <w:rsid w:val="0042187A"/>
    <w:rsid w:val="00422EE5"/>
    <w:rsid w:val="0042340A"/>
    <w:rsid w:val="00423C70"/>
    <w:rsid w:val="004245BB"/>
    <w:rsid w:val="00424C3F"/>
    <w:rsid w:val="00424C60"/>
    <w:rsid w:val="00424DC1"/>
    <w:rsid w:val="004250BA"/>
    <w:rsid w:val="004254FF"/>
    <w:rsid w:val="00425590"/>
    <w:rsid w:val="00425EA6"/>
    <w:rsid w:val="00426A8E"/>
    <w:rsid w:val="00426D4F"/>
    <w:rsid w:val="0042745C"/>
    <w:rsid w:val="004305D2"/>
    <w:rsid w:val="00430A1C"/>
    <w:rsid w:val="00430D5E"/>
    <w:rsid w:val="00431070"/>
    <w:rsid w:val="00431A6D"/>
    <w:rsid w:val="00431F59"/>
    <w:rsid w:val="0043206F"/>
    <w:rsid w:val="0043224A"/>
    <w:rsid w:val="0043259D"/>
    <w:rsid w:val="0043281D"/>
    <w:rsid w:val="004328F7"/>
    <w:rsid w:val="00432BEF"/>
    <w:rsid w:val="00432D45"/>
    <w:rsid w:val="004333D8"/>
    <w:rsid w:val="00433721"/>
    <w:rsid w:val="00433A9B"/>
    <w:rsid w:val="004340FB"/>
    <w:rsid w:val="004348E8"/>
    <w:rsid w:val="00434D08"/>
    <w:rsid w:val="00434DEF"/>
    <w:rsid w:val="00436BD9"/>
    <w:rsid w:val="00436F6A"/>
    <w:rsid w:val="00437D89"/>
    <w:rsid w:val="004401D6"/>
    <w:rsid w:val="004402A0"/>
    <w:rsid w:val="004405FE"/>
    <w:rsid w:val="0044077F"/>
    <w:rsid w:val="00441177"/>
    <w:rsid w:val="00441599"/>
    <w:rsid w:val="00441734"/>
    <w:rsid w:val="00441936"/>
    <w:rsid w:val="00441A7F"/>
    <w:rsid w:val="004421EC"/>
    <w:rsid w:val="00442A22"/>
    <w:rsid w:val="00442C50"/>
    <w:rsid w:val="00442E24"/>
    <w:rsid w:val="00443390"/>
    <w:rsid w:val="004435B8"/>
    <w:rsid w:val="0044397A"/>
    <w:rsid w:val="00444228"/>
    <w:rsid w:val="0044493D"/>
    <w:rsid w:val="00444E12"/>
    <w:rsid w:val="00444F33"/>
    <w:rsid w:val="004451D1"/>
    <w:rsid w:val="004462FB"/>
    <w:rsid w:val="00446566"/>
    <w:rsid w:val="004469FE"/>
    <w:rsid w:val="00446DED"/>
    <w:rsid w:val="004470DE"/>
    <w:rsid w:val="00447653"/>
    <w:rsid w:val="00447894"/>
    <w:rsid w:val="00447D32"/>
    <w:rsid w:val="00450294"/>
    <w:rsid w:val="00450E39"/>
    <w:rsid w:val="004516A5"/>
    <w:rsid w:val="004517A8"/>
    <w:rsid w:val="00451993"/>
    <w:rsid w:val="0045215D"/>
    <w:rsid w:val="004526D8"/>
    <w:rsid w:val="00453388"/>
    <w:rsid w:val="00453487"/>
    <w:rsid w:val="004534C2"/>
    <w:rsid w:val="00453A90"/>
    <w:rsid w:val="00454061"/>
    <w:rsid w:val="004548FA"/>
    <w:rsid w:val="0045543A"/>
    <w:rsid w:val="00455F8B"/>
    <w:rsid w:val="00456555"/>
    <w:rsid w:val="004568CC"/>
    <w:rsid w:val="00456A1E"/>
    <w:rsid w:val="0045700F"/>
    <w:rsid w:val="004571E5"/>
    <w:rsid w:val="00457285"/>
    <w:rsid w:val="00457614"/>
    <w:rsid w:val="00457A70"/>
    <w:rsid w:val="004606D1"/>
    <w:rsid w:val="00460B8D"/>
    <w:rsid w:val="004611BD"/>
    <w:rsid w:val="00461C23"/>
    <w:rsid w:val="00462575"/>
    <w:rsid w:val="0046283E"/>
    <w:rsid w:val="00463148"/>
    <w:rsid w:val="004631A0"/>
    <w:rsid w:val="00463224"/>
    <w:rsid w:val="004633EA"/>
    <w:rsid w:val="0046345F"/>
    <w:rsid w:val="00465354"/>
    <w:rsid w:val="00465584"/>
    <w:rsid w:val="00466066"/>
    <w:rsid w:val="00466ED9"/>
    <w:rsid w:val="0046703C"/>
    <w:rsid w:val="00467434"/>
    <w:rsid w:val="0047056E"/>
    <w:rsid w:val="00470BD5"/>
    <w:rsid w:val="00470FD6"/>
    <w:rsid w:val="0047157F"/>
    <w:rsid w:val="00471C15"/>
    <w:rsid w:val="004723BC"/>
    <w:rsid w:val="00472C53"/>
    <w:rsid w:val="004737BC"/>
    <w:rsid w:val="0047381F"/>
    <w:rsid w:val="00473F9F"/>
    <w:rsid w:val="00474272"/>
    <w:rsid w:val="00474276"/>
    <w:rsid w:val="00474409"/>
    <w:rsid w:val="00475CE7"/>
    <w:rsid w:val="00475F2B"/>
    <w:rsid w:val="0047613C"/>
    <w:rsid w:val="004765EE"/>
    <w:rsid w:val="00476BE1"/>
    <w:rsid w:val="00476FB3"/>
    <w:rsid w:val="00477566"/>
    <w:rsid w:val="004778DE"/>
    <w:rsid w:val="00477BA0"/>
    <w:rsid w:val="00480095"/>
    <w:rsid w:val="004803F9"/>
    <w:rsid w:val="004804F4"/>
    <w:rsid w:val="00480776"/>
    <w:rsid w:val="00481094"/>
    <w:rsid w:val="00481127"/>
    <w:rsid w:val="00481401"/>
    <w:rsid w:val="004816AA"/>
    <w:rsid w:val="00481A10"/>
    <w:rsid w:val="00481C0A"/>
    <w:rsid w:val="004820E9"/>
    <w:rsid w:val="004826C6"/>
    <w:rsid w:val="00482A2D"/>
    <w:rsid w:val="00482AAB"/>
    <w:rsid w:val="00483116"/>
    <w:rsid w:val="0048346E"/>
    <w:rsid w:val="00483A0B"/>
    <w:rsid w:val="0048423E"/>
    <w:rsid w:val="004843A2"/>
    <w:rsid w:val="00484B19"/>
    <w:rsid w:val="00484B2E"/>
    <w:rsid w:val="00484CD0"/>
    <w:rsid w:val="00485FBA"/>
    <w:rsid w:val="004863DD"/>
    <w:rsid w:val="00486A4A"/>
    <w:rsid w:val="00486AA3"/>
    <w:rsid w:val="00486E2E"/>
    <w:rsid w:val="00486F76"/>
    <w:rsid w:val="004877D3"/>
    <w:rsid w:val="00490326"/>
    <w:rsid w:val="00490954"/>
    <w:rsid w:val="00491033"/>
    <w:rsid w:val="004912C0"/>
    <w:rsid w:val="004918B1"/>
    <w:rsid w:val="00491CE5"/>
    <w:rsid w:val="00491E3E"/>
    <w:rsid w:val="00492CCF"/>
    <w:rsid w:val="0049301D"/>
    <w:rsid w:val="0049372A"/>
    <w:rsid w:val="0049399D"/>
    <w:rsid w:val="004940BD"/>
    <w:rsid w:val="004941E9"/>
    <w:rsid w:val="00494C24"/>
    <w:rsid w:val="00494C70"/>
    <w:rsid w:val="004955B4"/>
    <w:rsid w:val="00495896"/>
    <w:rsid w:val="00495A49"/>
    <w:rsid w:val="00495B5F"/>
    <w:rsid w:val="00496395"/>
    <w:rsid w:val="00496428"/>
    <w:rsid w:val="0049774D"/>
    <w:rsid w:val="004979FC"/>
    <w:rsid w:val="004A03AA"/>
    <w:rsid w:val="004A0891"/>
    <w:rsid w:val="004A0B87"/>
    <w:rsid w:val="004A1DC3"/>
    <w:rsid w:val="004A2031"/>
    <w:rsid w:val="004A23C3"/>
    <w:rsid w:val="004A295E"/>
    <w:rsid w:val="004A2A77"/>
    <w:rsid w:val="004A3EBC"/>
    <w:rsid w:val="004A4570"/>
    <w:rsid w:val="004A4B13"/>
    <w:rsid w:val="004A4B25"/>
    <w:rsid w:val="004A57C4"/>
    <w:rsid w:val="004A5D96"/>
    <w:rsid w:val="004A6011"/>
    <w:rsid w:val="004A61DD"/>
    <w:rsid w:val="004A6769"/>
    <w:rsid w:val="004A6990"/>
    <w:rsid w:val="004A7308"/>
    <w:rsid w:val="004A76D5"/>
    <w:rsid w:val="004A76E7"/>
    <w:rsid w:val="004B0A8E"/>
    <w:rsid w:val="004B10F4"/>
    <w:rsid w:val="004B16F1"/>
    <w:rsid w:val="004B1EEC"/>
    <w:rsid w:val="004B2809"/>
    <w:rsid w:val="004B39C9"/>
    <w:rsid w:val="004B40D2"/>
    <w:rsid w:val="004B47E3"/>
    <w:rsid w:val="004B4B95"/>
    <w:rsid w:val="004B4BF5"/>
    <w:rsid w:val="004B4EA7"/>
    <w:rsid w:val="004B5267"/>
    <w:rsid w:val="004B5CFF"/>
    <w:rsid w:val="004B5E92"/>
    <w:rsid w:val="004B612F"/>
    <w:rsid w:val="004B67FE"/>
    <w:rsid w:val="004B6880"/>
    <w:rsid w:val="004B6A34"/>
    <w:rsid w:val="004B6EC8"/>
    <w:rsid w:val="004B79B5"/>
    <w:rsid w:val="004B7A5B"/>
    <w:rsid w:val="004C0BF6"/>
    <w:rsid w:val="004C0F34"/>
    <w:rsid w:val="004C0FF7"/>
    <w:rsid w:val="004C413F"/>
    <w:rsid w:val="004C4B11"/>
    <w:rsid w:val="004C4F3C"/>
    <w:rsid w:val="004C514F"/>
    <w:rsid w:val="004C5D0D"/>
    <w:rsid w:val="004C5D83"/>
    <w:rsid w:val="004C687D"/>
    <w:rsid w:val="004C6CB9"/>
    <w:rsid w:val="004C6CC8"/>
    <w:rsid w:val="004C7595"/>
    <w:rsid w:val="004C75F8"/>
    <w:rsid w:val="004D0AC1"/>
    <w:rsid w:val="004D0AE2"/>
    <w:rsid w:val="004D0BD3"/>
    <w:rsid w:val="004D0EB6"/>
    <w:rsid w:val="004D1426"/>
    <w:rsid w:val="004D20E3"/>
    <w:rsid w:val="004D2DC9"/>
    <w:rsid w:val="004D417D"/>
    <w:rsid w:val="004D41FA"/>
    <w:rsid w:val="004D4280"/>
    <w:rsid w:val="004D4A6F"/>
    <w:rsid w:val="004D5040"/>
    <w:rsid w:val="004D51A3"/>
    <w:rsid w:val="004D579B"/>
    <w:rsid w:val="004D5980"/>
    <w:rsid w:val="004D5ABD"/>
    <w:rsid w:val="004D5CC7"/>
    <w:rsid w:val="004D6194"/>
    <w:rsid w:val="004E08AD"/>
    <w:rsid w:val="004E13C5"/>
    <w:rsid w:val="004E14C9"/>
    <w:rsid w:val="004E1505"/>
    <w:rsid w:val="004E1662"/>
    <w:rsid w:val="004E19F8"/>
    <w:rsid w:val="004E1D46"/>
    <w:rsid w:val="004E1EF8"/>
    <w:rsid w:val="004E28DF"/>
    <w:rsid w:val="004E2EDE"/>
    <w:rsid w:val="004E3356"/>
    <w:rsid w:val="004E3ED7"/>
    <w:rsid w:val="004E49E4"/>
    <w:rsid w:val="004E4B38"/>
    <w:rsid w:val="004E4CF6"/>
    <w:rsid w:val="004E5586"/>
    <w:rsid w:val="004E5B39"/>
    <w:rsid w:val="004E5D07"/>
    <w:rsid w:val="004E6265"/>
    <w:rsid w:val="004E66D5"/>
    <w:rsid w:val="004E6F02"/>
    <w:rsid w:val="004E6F4D"/>
    <w:rsid w:val="004E719B"/>
    <w:rsid w:val="004E73BD"/>
    <w:rsid w:val="004E7C06"/>
    <w:rsid w:val="004F050B"/>
    <w:rsid w:val="004F088B"/>
    <w:rsid w:val="004F0D93"/>
    <w:rsid w:val="004F1E28"/>
    <w:rsid w:val="004F2B78"/>
    <w:rsid w:val="004F2C12"/>
    <w:rsid w:val="004F3989"/>
    <w:rsid w:val="004F39E2"/>
    <w:rsid w:val="004F3B9B"/>
    <w:rsid w:val="004F3D33"/>
    <w:rsid w:val="004F3FEA"/>
    <w:rsid w:val="004F4321"/>
    <w:rsid w:val="004F4797"/>
    <w:rsid w:val="004F4B03"/>
    <w:rsid w:val="004F535F"/>
    <w:rsid w:val="004F55A7"/>
    <w:rsid w:val="004F56A6"/>
    <w:rsid w:val="004F585A"/>
    <w:rsid w:val="004F59C1"/>
    <w:rsid w:val="004F5A5E"/>
    <w:rsid w:val="004F6A79"/>
    <w:rsid w:val="004F6BE5"/>
    <w:rsid w:val="004F6D7C"/>
    <w:rsid w:val="004F72C8"/>
    <w:rsid w:val="004F7368"/>
    <w:rsid w:val="004F7484"/>
    <w:rsid w:val="004F7A9E"/>
    <w:rsid w:val="0050003D"/>
    <w:rsid w:val="005005F2"/>
    <w:rsid w:val="00500BE0"/>
    <w:rsid w:val="005018D6"/>
    <w:rsid w:val="00501F8E"/>
    <w:rsid w:val="005023C7"/>
    <w:rsid w:val="005028B1"/>
    <w:rsid w:val="00502B99"/>
    <w:rsid w:val="00502BCC"/>
    <w:rsid w:val="00503433"/>
    <w:rsid w:val="00503CFF"/>
    <w:rsid w:val="00504994"/>
    <w:rsid w:val="00504EDA"/>
    <w:rsid w:val="00504FE0"/>
    <w:rsid w:val="00505811"/>
    <w:rsid w:val="00506818"/>
    <w:rsid w:val="00506F82"/>
    <w:rsid w:val="0050756F"/>
    <w:rsid w:val="00507A82"/>
    <w:rsid w:val="005103FD"/>
    <w:rsid w:val="005105C8"/>
    <w:rsid w:val="0051068D"/>
    <w:rsid w:val="00510857"/>
    <w:rsid w:val="00510B02"/>
    <w:rsid w:val="00511B2D"/>
    <w:rsid w:val="00511C50"/>
    <w:rsid w:val="00512204"/>
    <w:rsid w:val="005122C3"/>
    <w:rsid w:val="00512491"/>
    <w:rsid w:val="005124D7"/>
    <w:rsid w:val="00512914"/>
    <w:rsid w:val="00512BE9"/>
    <w:rsid w:val="00513739"/>
    <w:rsid w:val="005139B0"/>
    <w:rsid w:val="00514386"/>
    <w:rsid w:val="00514FC6"/>
    <w:rsid w:val="0051547E"/>
    <w:rsid w:val="00515558"/>
    <w:rsid w:val="0051558B"/>
    <w:rsid w:val="00515907"/>
    <w:rsid w:val="00515B7D"/>
    <w:rsid w:val="00515C07"/>
    <w:rsid w:val="00515E0F"/>
    <w:rsid w:val="00515F3E"/>
    <w:rsid w:val="005163F9"/>
    <w:rsid w:val="005169C7"/>
    <w:rsid w:val="00516B06"/>
    <w:rsid w:val="00516E35"/>
    <w:rsid w:val="0051704E"/>
    <w:rsid w:val="0051764F"/>
    <w:rsid w:val="00517C71"/>
    <w:rsid w:val="00520031"/>
    <w:rsid w:val="005202F5"/>
    <w:rsid w:val="00520394"/>
    <w:rsid w:val="0052079C"/>
    <w:rsid w:val="00521712"/>
    <w:rsid w:val="00521E27"/>
    <w:rsid w:val="00521F35"/>
    <w:rsid w:val="00522751"/>
    <w:rsid w:val="00524385"/>
    <w:rsid w:val="00524D25"/>
    <w:rsid w:val="00524D80"/>
    <w:rsid w:val="00525109"/>
    <w:rsid w:val="00525848"/>
    <w:rsid w:val="005262CF"/>
    <w:rsid w:val="00526629"/>
    <w:rsid w:val="005266B1"/>
    <w:rsid w:val="00526CC4"/>
    <w:rsid w:val="00526DE0"/>
    <w:rsid w:val="00526E6C"/>
    <w:rsid w:val="00527298"/>
    <w:rsid w:val="005279B0"/>
    <w:rsid w:val="005279DB"/>
    <w:rsid w:val="005304F7"/>
    <w:rsid w:val="00530A26"/>
    <w:rsid w:val="00530FB7"/>
    <w:rsid w:val="005310EE"/>
    <w:rsid w:val="005314EE"/>
    <w:rsid w:val="00531C17"/>
    <w:rsid w:val="00531EB3"/>
    <w:rsid w:val="00532192"/>
    <w:rsid w:val="00532756"/>
    <w:rsid w:val="00532E7B"/>
    <w:rsid w:val="00532EFA"/>
    <w:rsid w:val="00533EF3"/>
    <w:rsid w:val="0053420F"/>
    <w:rsid w:val="0053533B"/>
    <w:rsid w:val="00535A7B"/>
    <w:rsid w:val="00535B4F"/>
    <w:rsid w:val="00536C46"/>
    <w:rsid w:val="005373F9"/>
    <w:rsid w:val="00537D12"/>
    <w:rsid w:val="005405D0"/>
    <w:rsid w:val="0054111C"/>
    <w:rsid w:val="005414ED"/>
    <w:rsid w:val="00541858"/>
    <w:rsid w:val="00541D1C"/>
    <w:rsid w:val="00542F3C"/>
    <w:rsid w:val="005432DB"/>
    <w:rsid w:val="00543397"/>
    <w:rsid w:val="005439AA"/>
    <w:rsid w:val="00543A46"/>
    <w:rsid w:val="00543B4E"/>
    <w:rsid w:val="00543CE6"/>
    <w:rsid w:val="00543EC9"/>
    <w:rsid w:val="0054451C"/>
    <w:rsid w:val="005453EB"/>
    <w:rsid w:val="005455C8"/>
    <w:rsid w:val="005455FA"/>
    <w:rsid w:val="0054576F"/>
    <w:rsid w:val="00545AA2"/>
    <w:rsid w:val="00545D1C"/>
    <w:rsid w:val="00546460"/>
    <w:rsid w:val="00547409"/>
    <w:rsid w:val="005474F8"/>
    <w:rsid w:val="00547E62"/>
    <w:rsid w:val="00551231"/>
    <w:rsid w:val="005513D8"/>
    <w:rsid w:val="00551555"/>
    <w:rsid w:val="005517DC"/>
    <w:rsid w:val="00551812"/>
    <w:rsid w:val="00551C06"/>
    <w:rsid w:val="00552220"/>
    <w:rsid w:val="005527F1"/>
    <w:rsid w:val="005527F9"/>
    <w:rsid w:val="00552940"/>
    <w:rsid w:val="005534AD"/>
    <w:rsid w:val="005542C2"/>
    <w:rsid w:val="00554799"/>
    <w:rsid w:val="005549F6"/>
    <w:rsid w:val="005551C7"/>
    <w:rsid w:val="00555903"/>
    <w:rsid w:val="00555B12"/>
    <w:rsid w:val="00556024"/>
    <w:rsid w:val="00556323"/>
    <w:rsid w:val="00556E2C"/>
    <w:rsid w:val="0055782E"/>
    <w:rsid w:val="00557B1B"/>
    <w:rsid w:val="005601A4"/>
    <w:rsid w:val="005603DD"/>
    <w:rsid w:val="00560935"/>
    <w:rsid w:val="00560D07"/>
    <w:rsid w:val="005614DE"/>
    <w:rsid w:val="00561BC6"/>
    <w:rsid w:val="00561BFF"/>
    <w:rsid w:val="00562111"/>
    <w:rsid w:val="0056294B"/>
    <w:rsid w:val="00562D58"/>
    <w:rsid w:val="00563636"/>
    <w:rsid w:val="0056363F"/>
    <w:rsid w:val="005639D9"/>
    <w:rsid w:val="00563D4F"/>
    <w:rsid w:val="00563E73"/>
    <w:rsid w:val="00564556"/>
    <w:rsid w:val="00564E4B"/>
    <w:rsid w:val="00564E60"/>
    <w:rsid w:val="00565546"/>
    <w:rsid w:val="00565A9E"/>
    <w:rsid w:val="00565B70"/>
    <w:rsid w:val="0056602B"/>
    <w:rsid w:val="0056688F"/>
    <w:rsid w:val="00567398"/>
    <w:rsid w:val="00567411"/>
    <w:rsid w:val="0056744D"/>
    <w:rsid w:val="00567A4A"/>
    <w:rsid w:val="005700D3"/>
    <w:rsid w:val="0057011F"/>
    <w:rsid w:val="0057109E"/>
    <w:rsid w:val="00571B45"/>
    <w:rsid w:val="00571C3B"/>
    <w:rsid w:val="00571C90"/>
    <w:rsid w:val="00572219"/>
    <w:rsid w:val="00572569"/>
    <w:rsid w:val="00572737"/>
    <w:rsid w:val="00572A7B"/>
    <w:rsid w:val="00572C4F"/>
    <w:rsid w:val="00572F87"/>
    <w:rsid w:val="0057381F"/>
    <w:rsid w:val="00573AD4"/>
    <w:rsid w:val="00573CCE"/>
    <w:rsid w:val="00573D80"/>
    <w:rsid w:val="005741F7"/>
    <w:rsid w:val="005742EA"/>
    <w:rsid w:val="0057519D"/>
    <w:rsid w:val="0057519E"/>
    <w:rsid w:val="005752A5"/>
    <w:rsid w:val="00575B0C"/>
    <w:rsid w:val="00576B80"/>
    <w:rsid w:val="005770F0"/>
    <w:rsid w:val="0057713D"/>
    <w:rsid w:val="005776DC"/>
    <w:rsid w:val="00580BA4"/>
    <w:rsid w:val="00581411"/>
    <w:rsid w:val="00581571"/>
    <w:rsid w:val="00581605"/>
    <w:rsid w:val="00582086"/>
    <w:rsid w:val="0058276E"/>
    <w:rsid w:val="00582F6B"/>
    <w:rsid w:val="00583AFE"/>
    <w:rsid w:val="00583F55"/>
    <w:rsid w:val="005841BE"/>
    <w:rsid w:val="0058522E"/>
    <w:rsid w:val="005852A8"/>
    <w:rsid w:val="00585353"/>
    <w:rsid w:val="00585ABC"/>
    <w:rsid w:val="005861AF"/>
    <w:rsid w:val="005867F4"/>
    <w:rsid w:val="00586B15"/>
    <w:rsid w:val="00586BAE"/>
    <w:rsid w:val="005874C4"/>
    <w:rsid w:val="00587B1D"/>
    <w:rsid w:val="00590484"/>
    <w:rsid w:val="005904B3"/>
    <w:rsid w:val="00590926"/>
    <w:rsid w:val="00590939"/>
    <w:rsid w:val="00590C18"/>
    <w:rsid w:val="005917A8"/>
    <w:rsid w:val="005918E7"/>
    <w:rsid w:val="00591AAA"/>
    <w:rsid w:val="00591F30"/>
    <w:rsid w:val="00593B39"/>
    <w:rsid w:val="00593C2E"/>
    <w:rsid w:val="00594BDB"/>
    <w:rsid w:val="00594E50"/>
    <w:rsid w:val="005950B3"/>
    <w:rsid w:val="0059577D"/>
    <w:rsid w:val="0059589E"/>
    <w:rsid w:val="00595C35"/>
    <w:rsid w:val="005967FF"/>
    <w:rsid w:val="00596E6D"/>
    <w:rsid w:val="0059766E"/>
    <w:rsid w:val="005A042F"/>
    <w:rsid w:val="005A044F"/>
    <w:rsid w:val="005A291F"/>
    <w:rsid w:val="005A29E1"/>
    <w:rsid w:val="005A2F1D"/>
    <w:rsid w:val="005A39D7"/>
    <w:rsid w:val="005A3D4F"/>
    <w:rsid w:val="005A3F92"/>
    <w:rsid w:val="005A406F"/>
    <w:rsid w:val="005A44E3"/>
    <w:rsid w:val="005A492F"/>
    <w:rsid w:val="005A4BFB"/>
    <w:rsid w:val="005A4C68"/>
    <w:rsid w:val="005A4E2B"/>
    <w:rsid w:val="005A57E2"/>
    <w:rsid w:val="005A5E49"/>
    <w:rsid w:val="005A5E4C"/>
    <w:rsid w:val="005A5EE5"/>
    <w:rsid w:val="005A64CD"/>
    <w:rsid w:val="005A6E71"/>
    <w:rsid w:val="005B0287"/>
    <w:rsid w:val="005B2153"/>
    <w:rsid w:val="005B217B"/>
    <w:rsid w:val="005B2307"/>
    <w:rsid w:val="005B2533"/>
    <w:rsid w:val="005B2717"/>
    <w:rsid w:val="005B438B"/>
    <w:rsid w:val="005B4C59"/>
    <w:rsid w:val="005B50D3"/>
    <w:rsid w:val="005B5385"/>
    <w:rsid w:val="005B5A90"/>
    <w:rsid w:val="005B616F"/>
    <w:rsid w:val="005B6810"/>
    <w:rsid w:val="005B6E20"/>
    <w:rsid w:val="005B780A"/>
    <w:rsid w:val="005B7D8F"/>
    <w:rsid w:val="005B7DF5"/>
    <w:rsid w:val="005B7EA4"/>
    <w:rsid w:val="005C01EA"/>
    <w:rsid w:val="005C0891"/>
    <w:rsid w:val="005C1B03"/>
    <w:rsid w:val="005C1C92"/>
    <w:rsid w:val="005C21F3"/>
    <w:rsid w:val="005C3CDB"/>
    <w:rsid w:val="005C40F4"/>
    <w:rsid w:val="005C42C9"/>
    <w:rsid w:val="005C44BD"/>
    <w:rsid w:val="005C50DD"/>
    <w:rsid w:val="005C50FA"/>
    <w:rsid w:val="005C56E8"/>
    <w:rsid w:val="005C5CC8"/>
    <w:rsid w:val="005C5F1C"/>
    <w:rsid w:val="005C69DC"/>
    <w:rsid w:val="005C6A67"/>
    <w:rsid w:val="005C6BBD"/>
    <w:rsid w:val="005C6D8F"/>
    <w:rsid w:val="005C6FA8"/>
    <w:rsid w:val="005C7C85"/>
    <w:rsid w:val="005D0144"/>
    <w:rsid w:val="005D0C71"/>
    <w:rsid w:val="005D12FE"/>
    <w:rsid w:val="005D1369"/>
    <w:rsid w:val="005D137F"/>
    <w:rsid w:val="005D205F"/>
    <w:rsid w:val="005D22B3"/>
    <w:rsid w:val="005D22CA"/>
    <w:rsid w:val="005D23A5"/>
    <w:rsid w:val="005D26A2"/>
    <w:rsid w:val="005D2795"/>
    <w:rsid w:val="005D2A73"/>
    <w:rsid w:val="005D2C54"/>
    <w:rsid w:val="005D2FAC"/>
    <w:rsid w:val="005D32AB"/>
    <w:rsid w:val="005D38CA"/>
    <w:rsid w:val="005D49B6"/>
    <w:rsid w:val="005D4F43"/>
    <w:rsid w:val="005D4F82"/>
    <w:rsid w:val="005D5687"/>
    <w:rsid w:val="005D5F88"/>
    <w:rsid w:val="005D60FE"/>
    <w:rsid w:val="005D63CD"/>
    <w:rsid w:val="005D64CD"/>
    <w:rsid w:val="005D681D"/>
    <w:rsid w:val="005D6D7D"/>
    <w:rsid w:val="005D796D"/>
    <w:rsid w:val="005E0CE3"/>
    <w:rsid w:val="005E1104"/>
    <w:rsid w:val="005E15F0"/>
    <w:rsid w:val="005E1D77"/>
    <w:rsid w:val="005E2361"/>
    <w:rsid w:val="005E291F"/>
    <w:rsid w:val="005E2DF6"/>
    <w:rsid w:val="005E3026"/>
    <w:rsid w:val="005E334B"/>
    <w:rsid w:val="005E35A7"/>
    <w:rsid w:val="005E3745"/>
    <w:rsid w:val="005E3C77"/>
    <w:rsid w:val="005E3E42"/>
    <w:rsid w:val="005E4AB8"/>
    <w:rsid w:val="005E4ADA"/>
    <w:rsid w:val="005E52CE"/>
    <w:rsid w:val="005E54F8"/>
    <w:rsid w:val="005E5AD4"/>
    <w:rsid w:val="005E5D26"/>
    <w:rsid w:val="005E610A"/>
    <w:rsid w:val="005E6956"/>
    <w:rsid w:val="005E6B24"/>
    <w:rsid w:val="005E6C0F"/>
    <w:rsid w:val="005E7568"/>
    <w:rsid w:val="005E7656"/>
    <w:rsid w:val="005F008F"/>
    <w:rsid w:val="005F0465"/>
    <w:rsid w:val="005F08AD"/>
    <w:rsid w:val="005F0FAF"/>
    <w:rsid w:val="005F11E9"/>
    <w:rsid w:val="005F13C6"/>
    <w:rsid w:val="005F1511"/>
    <w:rsid w:val="005F1678"/>
    <w:rsid w:val="005F1692"/>
    <w:rsid w:val="005F1EEF"/>
    <w:rsid w:val="005F2D63"/>
    <w:rsid w:val="005F2ECD"/>
    <w:rsid w:val="005F303C"/>
    <w:rsid w:val="005F3355"/>
    <w:rsid w:val="005F36B8"/>
    <w:rsid w:val="005F3DCA"/>
    <w:rsid w:val="005F3F8D"/>
    <w:rsid w:val="005F4871"/>
    <w:rsid w:val="005F4BA2"/>
    <w:rsid w:val="005F4CC8"/>
    <w:rsid w:val="005F4D34"/>
    <w:rsid w:val="005F5741"/>
    <w:rsid w:val="005F5DC5"/>
    <w:rsid w:val="005F60CE"/>
    <w:rsid w:val="005F642C"/>
    <w:rsid w:val="005F673B"/>
    <w:rsid w:val="005F6CAC"/>
    <w:rsid w:val="005F6CFB"/>
    <w:rsid w:val="005F7015"/>
    <w:rsid w:val="005F70CD"/>
    <w:rsid w:val="005F74E9"/>
    <w:rsid w:val="005F77CC"/>
    <w:rsid w:val="00600701"/>
    <w:rsid w:val="0060216C"/>
    <w:rsid w:val="0060222B"/>
    <w:rsid w:val="00604AA4"/>
    <w:rsid w:val="00606256"/>
    <w:rsid w:val="006062D1"/>
    <w:rsid w:val="006069F8"/>
    <w:rsid w:val="00607500"/>
    <w:rsid w:val="0061010A"/>
    <w:rsid w:val="00610C4E"/>
    <w:rsid w:val="00611081"/>
    <w:rsid w:val="00611A81"/>
    <w:rsid w:val="00611D64"/>
    <w:rsid w:val="00612150"/>
    <w:rsid w:val="0061302A"/>
    <w:rsid w:val="00613147"/>
    <w:rsid w:val="00613236"/>
    <w:rsid w:val="00613588"/>
    <w:rsid w:val="006139E5"/>
    <w:rsid w:val="00614084"/>
    <w:rsid w:val="0061448E"/>
    <w:rsid w:val="00615609"/>
    <w:rsid w:val="006156AA"/>
    <w:rsid w:val="00615998"/>
    <w:rsid w:val="00615F36"/>
    <w:rsid w:val="006170E7"/>
    <w:rsid w:val="00617279"/>
    <w:rsid w:val="0061797C"/>
    <w:rsid w:val="00617CB2"/>
    <w:rsid w:val="006200F8"/>
    <w:rsid w:val="00620CC0"/>
    <w:rsid w:val="00621B89"/>
    <w:rsid w:val="0062286C"/>
    <w:rsid w:val="00622E85"/>
    <w:rsid w:val="006230C9"/>
    <w:rsid w:val="0062389B"/>
    <w:rsid w:val="00623A06"/>
    <w:rsid w:val="00624640"/>
    <w:rsid w:val="00624C09"/>
    <w:rsid w:val="00625267"/>
    <w:rsid w:val="00625477"/>
    <w:rsid w:val="006256A8"/>
    <w:rsid w:val="00625C8D"/>
    <w:rsid w:val="006260DD"/>
    <w:rsid w:val="00626424"/>
    <w:rsid w:val="00627B5E"/>
    <w:rsid w:val="00627DE8"/>
    <w:rsid w:val="006305AF"/>
    <w:rsid w:val="00630BEC"/>
    <w:rsid w:val="00630EB1"/>
    <w:rsid w:val="00630EE2"/>
    <w:rsid w:val="00631158"/>
    <w:rsid w:val="006313DF"/>
    <w:rsid w:val="006313FF"/>
    <w:rsid w:val="006314DA"/>
    <w:rsid w:val="006318B7"/>
    <w:rsid w:val="00631D3F"/>
    <w:rsid w:val="00631F60"/>
    <w:rsid w:val="00632531"/>
    <w:rsid w:val="00632982"/>
    <w:rsid w:val="00632D49"/>
    <w:rsid w:val="00632DD5"/>
    <w:rsid w:val="006339C5"/>
    <w:rsid w:val="006342A5"/>
    <w:rsid w:val="00634939"/>
    <w:rsid w:val="00635466"/>
    <w:rsid w:val="00635915"/>
    <w:rsid w:val="00635A10"/>
    <w:rsid w:val="00636B7D"/>
    <w:rsid w:val="0063704A"/>
    <w:rsid w:val="00637277"/>
    <w:rsid w:val="00637843"/>
    <w:rsid w:val="00637C0F"/>
    <w:rsid w:val="0064095F"/>
    <w:rsid w:val="00641243"/>
    <w:rsid w:val="006412F5"/>
    <w:rsid w:val="00641B59"/>
    <w:rsid w:val="00642308"/>
    <w:rsid w:val="0064259B"/>
    <w:rsid w:val="00642D96"/>
    <w:rsid w:val="0064302E"/>
    <w:rsid w:val="00643132"/>
    <w:rsid w:val="00643B58"/>
    <w:rsid w:val="00643F19"/>
    <w:rsid w:val="00644983"/>
    <w:rsid w:val="006449BA"/>
    <w:rsid w:val="00644A69"/>
    <w:rsid w:val="00644A91"/>
    <w:rsid w:val="006457FB"/>
    <w:rsid w:val="00645886"/>
    <w:rsid w:val="00645C7C"/>
    <w:rsid w:val="0064642A"/>
    <w:rsid w:val="00646729"/>
    <w:rsid w:val="00646AB7"/>
    <w:rsid w:val="00646B4A"/>
    <w:rsid w:val="00646C2F"/>
    <w:rsid w:val="00646D6E"/>
    <w:rsid w:val="00647363"/>
    <w:rsid w:val="00647422"/>
    <w:rsid w:val="006479A2"/>
    <w:rsid w:val="006479A8"/>
    <w:rsid w:val="00647ADA"/>
    <w:rsid w:val="00647B01"/>
    <w:rsid w:val="00647B73"/>
    <w:rsid w:val="00647D1C"/>
    <w:rsid w:val="0065002B"/>
    <w:rsid w:val="00650CB5"/>
    <w:rsid w:val="00650CC0"/>
    <w:rsid w:val="00651076"/>
    <w:rsid w:val="006512A0"/>
    <w:rsid w:val="00651E32"/>
    <w:rsid w:val="0065217B"/>
    <w:rsid w:val="00652540"/>
    <w:rsid w:val="00652C13"/>
    <w:rsid w:val="00652F0D"/>
    <w:rsid w:val="0065379A"/>
    <w:rsid w:val="00653B55"/>
    <w:rsid w:val="00654683"/>
    <w:rsid w:val="006549C5"/>
    <w:rsid w:val="0065534F"/>
    <w:rsid w:val="00655366"/>
    <w:rsid w:val="006553A2"/>
    <w:rsid w:val="0065594F"/>
    <w:rsid w:val="00655ABB"/>
    <w:rsid w:val="006562CE"/>
    <w:rsid w:val="006574BB"/>
    <w:rsid w:val="006577B4"/>
    <w:rsid w:val="00657CDE"/>
    <w:rsid w:val="006601C6"/>
    <w:rsid w:val="006604EC"/>
    <w:rsid w:val="0066060E"/>
    <w:rsid w:val="00660BA2"/>
    <w:rsid w:val="00660C96"/>
    <w:rsid w:val="00660E2D"/>
    <w:rsid w:val="0066199A"/>
    <w:rsid w:val="00661DC1"/>
    <w:rsid w:val="00661EFC"/>
    <w:rsid w:val="00662E99"/>
    <w:rsid w:val="00663101"/>
    <w:rsid w:val="0066457D"/>
    <w:rsid w:val="00664D02"/>
    <w:rsid w:val="006653C9"/>
    <w:rsid w:val="006655EA"/>
    <w:rsid w:val="00665F7E"/>
    <w:rsid w:val="00665FC0"/>
    <w:rsid w:val="0066789F"/>
    <w:rsid w:val="00667FC0"/>
    <w:rsid w:val="00670F59"/>
    <w:rsid w:val="00671553"/>
    <w:rsid w:val="006715BC"/>
    <w:rsid w:val="00671855"/>
    <w:rsid w:val="00671A0F"/>
    <w:rsid w:val="00671FAF"/>
    <w:rsid w:val="00672EAD"/>
    <w:rsid w:val="006730B8"/>
    <w:rsid w:val="00673387"/>
    <w:rsid w:val="0067392D"/>
    <w:rsid w:val="00673D9D"/>
    <w:rsid w:val="00674C58"/>
    <w:rsid w:val="00674CA6"/>
    <w:rsid w:val="00674DA9"/>
    <w:rsid w:val="0067531D"/>
    <w:rsid w:val="00675412"/>
    <w:rsid w:val="00675497"/>
    <w:rsid w:val="00676CDA"/>
    <w:rsid w:val="00676D58"/>
    <w:rsid w:val="006777F5"/>
    <w:rsid w:val="00677E65"/>
    <w:rsid w:val="0068019B"/>
    <w:rsid w:val="0068090A"/>
    <w:rsid w:val="00680A58"/>
    <w:rsid w:val="00680FFC"/>
    <w:rsid w:val="0068127F"/>
    <w:rsid w:val="00681494"/>
    <w:rsid w:val="00681C1A"/>
    <w:rsid w:val="00681C1C"/>
    <w:rsid w:val="0068205C"/>
    <w:rsid w:val="006824DB"/>
    <w:rsid w:val="00682BC6"/>
    <w:rsid w:val="006835D9"/>
    <w:rsid w:val="006835F5"/>
    <w:rsid w:val="006836F2"/>
    <w:rsid w:val="00683D90"/>
    <w:rsid w:val="00684655"/>
    <w:rsid w:val="00685F95"/>
    <w:rsid w:val="00686300"/>
    <w:rsid w:val="006865E5"/>
    <w:rsid w:val="006870E0"/>
    <w:rsid w:val="006874A3"/>
    <w:rsid w:val="006875D0"/>
    <w:rsid w:val="00690783"/>
    <w:rsid w:val="00690804"/>
    <w:rsid w:val="00691C3A"/>
    <w:rsid w:val="00692157"/>
    <w:rsid w:val="00692BEC"/>
    <w:rsid w:val="00693193"/>
    <w:rsid w:val="0069342C"/>
    <w:rsid w:val="0069351C"/>
    <w:rsid w:val="00693DD0"/>
    <w:rsid w:val="00694A34"/>
    <w:rsid w:val="00695E02"/>
    <w:rsid w:val="0069623F"/>
    <w:rsid w:val="006965D4"/>
    <w:rsid w:val="006966D9"/>
    <w:rsid w:val="00697130"/>
    <w:rsid w:val="00697DA9"/>
    <w:rsid w:val="006A0CB2"/>
    <w:rsid w:val="006A1AD4"/>
    <w:rsid w:val="006A2B35"/>
    <w:rsid w:val="006A32E2"/>
    <w:rsid w:val="006A3809"/>
    <w:rsid w:val="006A41AF"/>
    <w:rsid w:val="006A494C"/>
    <w:rsid w:val="006A4C10"/>
    <w:rsid w:val="006A4CA4"/>
    <w:rsid w:val="006A5262"/>
    <w:rsid w:val="006A5475"/>
    <w:rsid w:val="006A56B1"/>
    <w:rsid w:val="006A58F5"/>
    <w:rsid w:val="006A5CC0"/>
    <w:rsid w:val="006A5D62"/>
    <w:rsid w:val="006A5F51"/>
    <w:rsid w:val="006A610A"/>
    <w:rsid w:val="006A6179"/>
    <w:rsid w:val="006A6341"/>
    <w:rsid w:val="006A6868"/>
    <w:rsid w:val="006A6F1A"/>
    <w:rsid w:val="006A7712"/>
    <w:rsid w:val="006A7888"/>
    <w:rsid w:val="006A78C3"/>
    <w:rsid w:val="006A7C39"/>
    <w:rsid w:val="006B0342"/>
    <w:rsid w:val="006B037E"/>
    <w:rsid w:val="006B0626"/>
    <w:rsid w:val="006B0ECE"/>
    <w:rsid w:val="006B1097"/>
    <w:rsid w:val="006B1154"/>
    <w:rsid w:val="006B1900"/>
    <w:rsid w:val="006B2648"/>
    <w:rsid w:val="006B2901"/>
    <w:rsid w:val="006B2BF1"/>
    <w:rsid w:val="006B387C"/>
    <w:rsid w:val="006B4A97"/>
    <w:rsid w:val="006B5980"/>
    <w:rsid w:val="006B6AA7"/>
    <w:rsid w:val="006B75CD"/>
    <w:rsid w:val="006B77D9"/>
    <w:rsid w:val="006C046F"/>
    <w:rsid w:val="006C0BFE"/>
    <w:rsid w:val="006C0E65"/>
    <w:rsid w:val="006C1EE7"/>
    <w:rsid w:val="006C2037"/>
    <w:rsid w:val="006C2200"/>
    <w:rsid w:val="006C29B6"/>
    <w:rsid w:val="006C29F9"/>
    <w:rsid w:val="006C2D80"/>
    <w:rsid w:val="006C3185"/>
    <w:rsid w:val="006C33AB"/>
    <w:rsid w:val="006C375C"/>
    <w:rsid w:val="006C3914"/>
    <w:rsid w:val="006C3A15"/>
    <w:rsid w:val="006C4817"/>
    <w:rsid w:val="006C4B7D"/>
    <w:rsid w:val="006C4F2B"/>
    <w:rsid w:val="006C6190"/>
    <w:rsid w:val="006C70B6"/>
    <w:rsid w:val="006D004D"/>
    <w:rsid w:val="006D00F8"/>
    <w:rsid w:val="006D0496"/>
    <w:rsid w:val="006D0522"/>
    <w:rsid w:val="006D145C"/>
    <w:rsid w:val="006D1C04"/>
    <w:rsid w:val="006D1D7A"/>
    <w:rsid w:val="006D1FAE"/>
    <w:rsid w:val="006D2485"/>
    <w:rsid w:val="006D31A0"/>
    <w:rsid w:val="006D32D1"/>
    <w:rsid w:val="006D3D44"/>
    <w:rsid w:val="006D41CD"/>
    <w:rsid w:val="006D4225"/>
    <w:rsid w:val="006D4962"/>
    <w:rsid w:val="006D4BE4"/>
    <w:rsid w:val="006D4D69"/>
    <w:rsid w:val="006D5036"/>
    <w:rsid w:val="006D62AE"/>
    <w:rsid w:val="006D6854"/>
    <w:rsid w:val="006D69DF"/>
    <w:rsid w:val="006D7A50"/>
    <w:rsid w:val="006D7F81"/>
    <w:rsid w:val="006E0728"/>
    <w:rsid w:val="006E0E38"/>
    <w:rsid w:val="006E10CB"/>
    <w:rsid w:val="006E1507"/>
    <w:rsid w:val="006E1FFF"/>
    <w:rsid w:val="006E23AA"/>
    <w:rsid w:val="006E250B"/>
    <w:rsid w:val="006E3050"/>
    <w:rsid w:val="006E32B5"/>
    <w:rsid w:val="006E368A"/>
    <w:rsid w:val="006E39F8"/>
    <w:rsid w:val="006E6524"/>
    <w:rsid w:val="006E65D5"/>
    <w:rsid w:val="006E68DA"/>
    <w:rsid w:val="006E75EA"/>
    <w:rsid w:val="006E7A03"/>
    <w:rsid w:val="006E7C43"/>
    <w:rsid w:val="006E7FA9"/>
    <w:rsid w:val="006E7FE8"/>
    <w:rsid w:val="006F0062"/>
    <w:rsid w:val="006F0572"/>
    <w:rsid w:val="006F070F"/>
    <w:rsid w:val="006F0B17"/>
    <w:rsid w:val="006F1A19"/>
    <w:rsid w:val="006F1ABD"/>
    <w:rsid w:val="006F28EF"/>
    <w:rsid w:val="006F2BE9"/>
    <w:rsid w:val="006F31A5"/>
    <w:rsid w:val="006F34E2"/>
    <w:rsid w:val="006F41E6"/>
    <w:rsid w:val="006F4837"/>
    <w:rsid w:val="006F4E78"/>
    <w:rsid w:val="006F5456"/>
    <w:rsid w:val="006F584F"/>
    <w:rsid w:val="006F5F72"/>
    <w:rsid w:val="006F6104"/>
    <w:rsid w:val="006F6311"/>
    <w:rsid w:val="006F6DBC"/>
    <w:rsid w:val="006F73C1"/>
    <w:rsid w:val="00700007"/>
    <w:rsid w:val="007005DF"/>
    <w:rsid w:val="00700B03"/>
    <w:rsid w:val="00701443"/>
    <w:rsid w:val="0070253D"/>
    <w:rsid w:val="00702AE5"/>
    <w:rsid w:val="00702B2D"/>
    <w:rsid w:val="00702BB1"/>
    <w:rsid w:val="007030B0"/>
    <w:rsid w:val="00703448"/>
    <w:rsid w:val="00703681"/>
    <w:rsid w:val="007047AD"/>
    <w:rsid w:val="00704B30"/>
    <w:rsid w:val="00704BF9"/>
    <w:rsid w:val="00704F3C"/>
    <w:rsid w:val="00704F7E"/>
    <w:rsid w:val="00705C3D"/>
    <w:rsid w:val="00705E5E"/>
    <w:rsid w:val="00706273"/>
    <w:rsid w:val="00706647"/>
    <w:rsid w:val="007066D9"/>
    <w:rsid w:val="007077C3"/>
    <w:rsid w:val="007079B9"/>
    <w:rsid w:val="00707A78"/>
    <w:rsid w:val="00710082"/>
    <w:rsid w:val="007102B4"/>
    <w:rsid w:val="007102E1"/>
    <w:rsid w:val="00710437"/>
    <w:rsid w:val="00710551"/>
    <w:rsid w:val="007108E4"/>
    <w:rsid w:val="00710A07"/>
    <w:rsid w:val="00710A42"/>
    <w:rsid w:val="00711942"/>
    <w:rsid w:val="00711CDC"/>
    <w:rsid w:val="00712455"/>
    <w:rsid w:val="007125C6"/>
    <w:rsid w:val="007127E0"/>
    <w:rsid w:val="0071344E"/>
    <w:rsid w:val="00713753"/>
    <w:rsid w:val="00713AA5"/>
    <w:rsid w:val="00713C39"/>
    <w:rsid w:val="00714686"/>
    <w:rsid w:val="00715226"/>
    <w:rsid w:val="007154FA"/>
    <w:rsid w:val="0071691E"/>
    <w:rsid w:val="00716BCB"/>
    <w:rsid w:val="00717368"/>
    <w:rsid w:val="007175CD"/>
    <w:rsid w:val="00720E1F"/>
    <w:rsid w:val="00720F75"/>
    <w:rsid w:val="00721078"/>
    <w:rsid w:val="00721D27"/>
    <w:rsid w:val="0072351F"/>
    <w:rsid w:val="00723960"/>
    <w:rsid w:val="0072442D"/>
    <w:rsid w:val="0072463E"/>
    <w:rsid w:val="00724AB4"/>
    <w:rsid w:val="00724CEB"/>
    <w:rsid w:val="00724E7C"/>
    <w:rsid w:val="00725352"/>
    <w:rsid w:val="00725E61"/>
    <w:rsid w:val="00726362"/>
    <w:rsid w:val="00726475"/>
    <w:rsid w:val="00726667"/>
    <w:rsid w:val="007269A1"/>
    <w:rsid w:val="00726A82"/>
    <w:rsid w:val="00727176"/>
    <w:rsid w:val="007271E2"/>
    <w:rsid w:val="007278CA"/>
    <w:rsid w:val="00730642"/>
    <w:rsid w:val="00730662"/>
    <w:rsid w:val="007308D6"/>
    <w:rsid w:val="0073104A"/>
    <w:rsid w:val="007314F9"/>
    <w:rsid w:val="00732117"/>
    <w:rsid w:val="007325FE"/>
    <w:rsid w:val="00732672"/>
    <w:rsid w:val="00732DAD"/>
    <w:rsid w:val="00733122"/>
    <w:rsid w:val="00733545"/>
    <w:rsid w:val="00733824"/>
    <w:rsid w:val="00734198"/>
    <w:rsid w:val="0073427A"/>
    <w:rsid w:val="007345AF"/>
    <w:rsid w:val="00734867"/>
    <w:rsid w:val="00734B8D"/>
    <w:rsid w:val="00734EED"/>
    <w:rsid w:val="00734EF4"/>
    <w:rsid w:val="007352C9"/>
    <w:rsid w:val="00735C5A"/>
    <w:rsid w:val="00735E3B"/>
    <w:rsid w:val="007361BA"/>
    <w:rsid w:val="00736F54"/>
    <w:rsid w:val="00737A1C"/>
    <w:rsid w:val="00737C35"/>
    <w:rsid w:val="00740682"/>
    <w:rsid w:val="00740A72"/>
    <w:rsid w:val="00740E2A"/>
    <w:rsid w:val="007410B7"/>
    <w:rsid w:val="007412F8"/>
    <w:rsid w:val="0074162B"/>
    <w:rsid w:val="00741925"/>
    <w:rsid w:val="0074215D"/>
    <w:rsid w:val="007424CA"/>
    <w:rsid w:val="00742B2D"/>
    <w:rsid w:val="007437A6"/>
    <w:rsid w:val="00743CEB"/>
    <w:rsid w:val="00744CE5"/>
    <w:rsid w:val="00745B8C"/>
    <w:rsid w:val="00745CAC"/>
    <w:rsid w:val="00745E7C"/>
    <w:rsid w:val="00746A28"/>
    <w:rsid w:val="007471AC"/>
    <w:rsid w:val="00747770"/>
    <w:rsid w:val="0075030F"/>
    <w:rsid w:val="007508B3"/>
    <w:rsid w:val="00751752"/>
    <w:rsid w:val="00751CBB"/>
    <w:rsid w:val="00752093"/>
    <w:rsid w:val="007522B8"/>
    <w:rsid w:val="0075257A"/>
    <w:rsid w:val="007526B3"/>
    <w:rsid w:val="00752B02"/>
    <w:rsid w:val="00752CE4"/>
    <w:rsid w:val="00752F47"/>
    <w:rsid w:val="00753202"/>
    <w:rsid w:val="0075386F"/>
    <w:rsid w:val="0075390D"/>
    <w:rsid w:val="0075404E"/>
    <w:rsid w:val="007542FB"/>
    <w:rsid w:val="0075469E"/>
    <w:rsid w:val="007551B4"/>
    <w:rsid w:val="00755363"/>
    <w:rsid w:val="007553A9"/>
    <w:rsid w:val="00755429"/>
    <w:rsid w:val="00755BF0"/>
    <w:rsid w:val="00755F7E"/>
    <w:rsid w:val="007566C4"/>
    <w:rsid w:val="00756BC0"/>
    <w:rsid w:val="00756E44"/>
    <w:rsid w:val="00757F22"/>
    <w:rsid w:val="0076064A"/>
    <w:rsid w:val="00760786"/>
    <w:rsid w:val="007608C4"/>
    <w:rsid w:val="00760BB6"/>
    <w:rsid w:val="00760E04"/>
    <w:rsid w:val="00761127"/>
    <w:rsid w:val="00761424"/>
    <w:rsid w:val="007615C6"/>
    <w:rsid w:val="0076193C"/>
    <w:rsid w:val="0076193D"/>
    <w:rsid w:val="00761AC2"/>
    <w:rsid w:val="00761D62"/>
    <w:rsid w:val="00761E6F"/>
    <w:rsid w:val="007620DF"/>
    <w:rsid w:val="00762519"/>
    <w:rsid w:val="00762908"/>
    <w:rsid w:val="007634A7"/>
    <w:rsid w:val="00763506"/>
    <w:rsid w:val="007635B2"/>
    <w:rsid w:val="00763B5F"/>
    <w:rsid w:val="0076441F"/>
    <w:rsid w:val="0076449C"/>
    <w:rsid w:val="00764658"/>
    <w:rsid w:val="007649EC"/>
    <w:rsid w:val="00765572"/>
    <w:rsid w:val="00766248"/>
    <w:rsid w:val="007666DE"/>
    <w:rsid w:val="00766894"/>
    <w:rsid w:val="00766EC9"/>
    <w:rsid w:val="00767166"/>
    <w:rsid w:val="00770CF7"/>
    <w:rsid w:val="007715A3"/>
    <w:rsid w:val="00771769"/>
    <w:rsid w:val="007717C7"/>
    <w:rsid w:val="007717DC"/>
    <w:rsid w:val="007719F4"/>
    <w:rsid w:val="007719FF"/>
    <w:rsid w:val="00771A5E"/>
    <w:rsid w:val="00771D70"/>
    <w:rsid w:val="00771E1E"/>
    <w:rsid w:val="007720B8"/>
    <w:rsid w:val="0077235E"/>
    <w:rsid w:val="00772A44"/>
    <w:rsid w:val="00772CB9"/>
    <w:rsid w:val="00773022"/>
    <w:rsid w:val="00773BFF"/>
    <w:rsid w:val="00773D8C"/>
    <w:rsid w:val="007741DC"/>
    <w:rsid w:val="00774326"/>
    <w:rsid w:val="00774340"/>
    <w:rsid w:val="007744BC"/>
    <w:rsid w:val="00775648"/>
    <w:rsid w:val="0077593D"/>
    <w:rsid w:val="00775962"/>
    <w:rsid w:val="00775A0D"/>
    <w:rsid w:val="00775A3A"/>
    <w:rsid w:val="00776006"/>
    <w:rsid w:val="007767CA"/>
    <w:rsid w:val="00777283"/>
    <w:rsid w:val="007775A3"/>
    <w:rsid w:val="00780A7A"/>
    <w:rsid w:val="00780C92"/>
    <w:rsid w:val="00780DBE"/>
    <w:rsid w:val="007816A6"/>
    <w:rsid w:val="007819A7"/>
    <w:rsid w:val="00781C75"/>
    <w:rsid w:val="007826E0"/>
    <w:rsid w:val="00782BB7"/>
    <w:rsid w:val="0078328F"/>
    <w:rsid w:val="00783BA6"/>
    <w:rsid w:val="00783FB9"/>
    <w:rsid w:val="00784C71"/>
    <w:rsid w:val="00784D98"/>
    <w:rsid w:val="00785179"/>
    <w:rsid w:val="007851B9"/>
    <w:rsid w:val="00785732"/>
    <w:rsid w:val="007859A2"/>
    <w:rsid w:val="00785F0D"/>
    <w:rsid w:val="00786326"/>
    <w:rsid w:val="00786607"/>
    <w:rsid w:val="00786871"/>
    <w:rsid w:val="00786DA4"/>
    <w:rsid w:val="00787271"/>
    <w:rsid w:val="007876E9"/>
    <w:rsid w:val="0078771C"/>
    <w:rsid w:val="00787CC4"/>
    <w:rsid w:val="00787F92"/>
    <w:rsid w:val="00787F9E"/>
    <w:rsid w:val="0079090F"/>
    <w:rsid w:val="00791311"/>
    <w:rsid w:val="007917F5"/>
    <w:rsid w:val="00791BA3"/>
    <w:rsid w:val="00791D1A"/>
    <w:rsid w:val="00791D71"/>
    <w:rsid w:val="00791F47"/>
    <w:rsid w:val="00792834"/>
    <w:rsid w:val="00793018"/>
    <w:rsid w:val="0079343A"/>
    <w:rsid w:val="00793617"/>
    <w:rsid w:val="007942AA"/>
    <w:rsid w:val="0079453E"/>
    <w:rsid w:val="00794627"/>
    <w:rsid w:val="007947DA"/>
    <w:rsid w:val="00795120"/>
    <w:rsid w:val="007951E8"/>
    <w:rsid w:val="0079582F"/>
    <w:rsid w:val="00795D83"/>
    <w:rsid w:val="00796AB4"/>
    <w:rsid w:val="00796DDA"/>
    <w:rsid w:val="00797111"/>
    <w:rsid w:val="007971AE"/>
    <w:rsid w:val="007A0439"/>
    <w:rsid w:val="007A0724"/>
    <w:rsid w:val="007A0A51"/>
    <w:rsid w:val="007A0E1A"/>
    <w:rsid w:val="007A0F4A"/>
    <w:rsid w:val="007A0FFB"/>
    <w:rsid w:val="007A13A0"/>
    <w:rsid w:val="007A1947"/>
    <w:rsid w:val="007A227C"/>
    <w:rsid w:val="007A24E6"/>
    <w:rsid w:val="007A286A"/>
    <w:rsid w:val="007A30FA"/>
    <w:rsid w:val="007A323C"/>
    <w:rsid w:val="007A3B57"/>
    <w:rsid w:val="007A462F"/>
    <w:rsid w:val="007A4A28"/>
    <w:rsid w:val="007A4B6A"/>
    <w:rsid w:val="007A4F17"/>
    <w:rsid w:val="007A5675"/>
    <w:rsid w:val="007A5774"/>
    <w:rsid w:val="007A5892"/>
    <w:rsid w:val="007A60B6"/>
    <w:rsid w:val="007A671F"/>
    <w:rsid w:val="007A6D13"/>
    <w:rsid w:val="007B0361"/>
    <w:rsid w:val="007B07EB"/>
    <w:rsid w:val="007B16DE"/>
    <w:rsid w:val="007B19CA"/>
    <w:rsid w:val="007B26CD"/>
    <w:rsid w:val="007B2A30"/>
    <w:rsid w:val="007B2AB3"/>
    <w:rsid w:val="007B30D6"/>
    <w:rsid w:val="007B36BD"/>
    <w:rsid w:val="007B3860"/>
    <w:rsid w:val="007B3895"/>
    <w:rsid w:val="007B3F8D"/>
    <w:rsid w:val="007B3FD8"/>
    <w:rsid w:val="007B4CBB"/>
    <w:rsid w:val="007B55A8"/>
    <w:rsid w:val="007B5747"/>
    <w:rsid w:val="007B582E"/>
    <w:rsid w:val="007B58AD"/>
    <w:rsid w:val="007B5C57"/>
    <w:rsid w:val="007B64AA"/>
    <w:rsid w:val="007B6615"/>
    <w:rsid w:val="007B71F6"/>
    <w:rsid w:val="007B733E"/>
    <w:rsid w:val="007B73CF"/>
    <w:rsid w:val="007B7484"/>
    <w:rsid w:val="007B76E0"/>
    <w:rsid w:val="007B772E"/>
    <w:rsid w:val="007B77F2"/>
    <w:rsid w:val="007C01EC"/>
    <w:rsid w:val="007C0AAF"/>
    <w:rsid w:val="007C0BE6"/>
    <w:rsid w:val="007C1076"/>
    <w:rsid w:val="007C13CC"/>
    <w:rsid w:val="007C1AAD"/>
    <w:rsid w:val="007C1BAD"/>
    <w:rsid w:val="007C1CF1"/>
    <w:rsid w:val="007C28C1"/>
    <w:rsid w:val="007C3246"/>
    <w:rsid w:val="007C37B2"/>
    <w:rsid w:val="007C3ED5"/>
    <w:rsid w:val="007C3FA6"/>
    <w:rsid w:val="007C4AF4"/>
    <w:rsid w:val="007C5176"/>
    <w:rsid w:val="007C51EF"/>
    <w:rsid w:val="007C5AFA"/>
    <w:rsid w:val="007C5E26"/>
    <w:rsid w:val="007C7035"/>
    <w:rsid w:val="007C762C"/>
    <w:rsid w:val="007C7C6D"/>
    <w:rsid w:val="007D3022"/>
    <w:rsid w:val="007D41A4"/>
    <w:rsid w:val="007D4861"/>
    <w:rsid w:val="007D4F3A"/>
    <w:rsid w:val="007D5037"/>
    <w:rsid w:val="007D51E4"/>
    <w:rsid w:val="007D5EAF"/>
    <w:rsid w:val="007E0BDF"/>
    <w:rsid w:val="007E0C40"/>
    <w:rsid w:val="007E16CF"/>
    <w:rsid w:val="007E1F1C"/>
    <w:rsid w:val="007E25C3"/>
    <w:rsid w:val="007E263B"/>
    <w:rsid w:val="007E2DF7"/>
    <w:rsid w:val="007E3815"/>
    <w:rsid w:val="007E45AB"/>
    <w:rsid w:val="007E48B1"/>
    <w:rsid w:val="007E5364"/>
    <w:rsid w:val="007E54F2"/>
    <w:rsid w:val="007E657A"/>
    <w:rsid w:val="007E6C99"/>
    <w:rsid w:val="007E6D0F"/>
    <w:rsid w:val="007E71D1"/>
    <w:rsid w:val="007E7729"/>
    <w:rsid w:val="007E7EBB"/>
    <w:rsid w:val="007E7EE1"/>
    <w:rsid w:val="007F05EE"/>
    <w:rsid w:val="007F062B"/>
    <w:rsid w:val="007F08DE"/>
    <w:rsid w:val="007F0E50"/>
    <w:rsid w:val="007F1025"/>
    <w:rsid w:val="007F1334"/>
    <w:rsid w:val="007F1683"/>
    <w:rsid w:val="007F192A"/>
    <w:rsid w:val="007F1C9E"/>
    <w:rsid w:val="007F2013"/>
    <w:rsid w:val="007F3FC0"/>
    <w:rsid w:val="007F4B7D"/>
    <w:rsid w:val="007F4D98"/>
    <w:rsid w:val="007F56F6"/>
    <w:rsid w:val="007F5CD2"/>
    <w:rsid w:val="007F6505"/>
    <w:rsid w:val="007F6742"/>
    <w:rsid w:val="007F7106"/>
    <w:rsid w:val="007F7C79"/>
    <w:rsid w:val="007F7D21"/>
    <w:rsid w:val="00800226"/>
    <w:rsid w:val="00800365"/>
    <w:rsid w:val="00800A3C"/>
    <w:rsid w:val="00800FB8"/>
    <w:rsid w:val="00801397"/>
    <w:rsid w:val="008013C7"/>
    <w:rsid w:val="0080168A"/>
    <w:rsid w:val="00801ACC"/>
    <w:rsid w:val="008027AB"/>
    <w:rsid w:val="00802A5F"/>
    <w:rsid w:val="00802AC3"/>
    <w:rsid w:val="00802CA7"/>
    <w:rsid w:val="00802DB1"/>
    <w:rsid w:val="008030D7"/>
    <w:rsid w:val="008035EF"/>
    <w:rsid w:val="00803BA1"/>
    <w:rsid w:val="008047E5"/>
    <w:rsid w:val="00804A57"/>
    <w:rsid w:val="0080653A"/>
    <w:rsid w:val="00806BA3"/>
    <w:rsid w:val="00807A4C"/>
    <w:rsid w:val="00807AB0"/>
    <w:rsid w:val="008106AC"/>
    <w:rsid w:val="00810835"/>
    <w:rsid w:val="008111FB"/>
    <w:rsid w:val="00811EE4"/>
    <w:rsid w:val="00812154"/>
    <w:rsid w:val="008123F8"/>
    <w:rsid w:val="00812638"/>
    <w:rsid w:val="00812F83"/>
    <w:rsid w:val="00813247"/>
    <w:rsid w:val="00813309"/>
    <w:rsid w:val="00813845"/>
    <w:rsid w:val="0081442D"/>
    <w:rsid w:val="008144A7"/>
    <w:rsid w:val="00814C75"/>
    <w:rsid w:val="00814DD3"/>
    <w:rsid w:val="00815077"/>
    <w:rsid w:val="00815B09"/>
    <w:rsid w:val="008170C0"/>
    <w:rsid w:val="00817FF6"/>
    <w:rsid w:val="0082025E"/>
    <w:rsid w:val="00820307"/>
    <w:rsid w:val="008207BA"/>
    <w:rsid w:val="008209F3"/>
    <w:rsid w:val="00820B28"/>
    <w:rsid w:val="00821D46"/>
    <w:rsid w:val="0082212A"/>
    <w:rsid w:val="0082310F"/>
    <w:rsid w:val="00823BE2"/>
    <w:rsid w:val="00823EFE"/>
    <w:rsid w:val="00823F46"/>
    <w:rsid w:val="008241F9"/>
    <w:rsid w:val="00824E68"/>
    <w:rsid w:val="008255F4"/>
    <w:rsid w:val="00825CA3"/>
    <w:rsid w:val="0082602E"/>
    <w:rsid w:val="008260B1"/>
    <w:rsid w:val="00826C58"/>
    <w:rsid w:val="00826C6A"/>
    <w:rsid w:val="00826ED2"/>
    <w:rsid w:val="00826FE7"/>
    <w:rsid w:val="008272B1"/>
    <w:rsid w:val="00827315"/>
    <w:rsid w:val="0082751E"/>
    <w:rsid w:val="00827961"/>
    <w:rsid w:val="00827EFF"/>
    <w:rsid w:val="008300A4"/>
    <w:rsid w:val="0083030F"/>
    <w:rsid w:val="00830B64"/>
    <w:rsid w:val="00830E2F"/>
    <w:rsid w:val="008310EA"/>
    <w:rsid w:val="008312FF"/>
    <w:rsid w:val="008325D1"/>
    <w:rsid w:val="00832A1A"/>
    <w:rsid w:val="00832CC4"/>
    <w:rsid w:val="00832E5A"/>
    <w:rsid w:val="00833020"/>
    <w:rsid w:val="00834604"/>
    <w:rsid w:val="0083515E"/>
    <w:rsid w:val="00835188"/>
    <w:rsid w:val="0083532F"/>
    <w:rsid w:val="00835BE6"/>
    <w:rsid w:val="00837641"/>
    <w:rsid w:val="0083773A"/>
    <w:rsid w:val="0084027A"/>
    <w:rsid w:val="008403DE"/>
    <w:rsid w:val="00840B87"/>
    <w:rsid w:val="008411A0"/>
    <w:rsid w:val="00841BAD"/>
    <w:rsid w:val="008420B7"/>
    <w:rsid w:val="008423CE"/>
    <w:rsid w:val="00842FF2"/>
    <w:rsid w:val="0084310D"/>
    <w:rsid w:val="0084344E"/>
    <w:rsid w:val="00843853"/>
    <w:rsid w:val="008445E7"/>
    <w:rsid w:val="008445FB"/>
    <w:rsid w:val="0084536F"/>
    <w:rsid w:val="00845543"/>
    <w:rsid w:val="00846E85"/>
    <w:rsid w:val="00847334"/>
    <w:rsid w:val="00847356"/>
    <w:rsid w:val="0084765A"/>
    <w:rsid w:val="00847758"/>
    <w:rsid w:val="00847B3A"/>
    <w:rsid w:val="00847B5D"/>
    <w:rsid w:val="0085006B"/>
    <w:rsid w:val="008502EE"/>
    <w:rsid w:val="008503CB"/>
    <w:rsid w:val="008505CA"/>
    <w:rsid w:val="00850BEA"/>
    <w:rsid w:val="0085100E"/>
    <w:rsid w:val="0085161D"/>
    <w:rsid w:val="008517B6"/>
    <w:rsid w:val="0085182F"/>
    <w:rsid w:val="008528AA"/>
    <w:rsid w:val="00852E30"/>
    <w:rsid w:val="008542F7"/>
    <w:rsid w:val="00854399"/>
    <w:rsid w:val="00854E42"/>
    <w:rsid w:val="008557C0"/>
    <w:rsid w:val="00855E3D"/>
    <w:rsid w:val="00855FC8"/>
    <w:rsid w:val="0085637B"/>
    <w:rsid w:val="00856A48"/>
    <w:rsid w:val="0085711C"/>
    <w:rsid w:val="00857289"/>
    <w:rsid w:val="008575D6"/>
    <w:rsid w:val="00857658"/>
    <w:rsid w:val="008576DD"/>
    <w:rsid w:val="00857D3C"/>
    <w:rsid w:val="0086083C"/>
    <w:rsid w:val="00860F0F"/>
    <w:rsid w:val="008614F8"/>
    <w:rsid w:val="00861A86"/>
    <w:rsid w:val="00861F46"/>
    <w:rsid w:val="008623FC"/>
    <w:rsid w:val="008626BC"/>
    <w:rsid w:val="00862FBA"/>
    <w:rsid w:val="00863497"/>
    <w:rsid w:val="0086353C"/>
    <w:rsid w:val="008639B4"/>
    <w:rsid w:val="0086404A"/>
    <w:rsid w:val="00864DCB"/>
    <w:rsid w:val="008656D1"/>
    <w:rsid w:val="00865ACC"/>
    <w:rsid w:val="00866202"/>
    <w:rsid w:val="00866301"/>
    <w:rsid w:val="008663E8"/>
    <w:rsid w:val="0086663A"/>
    <w:rsid w:val="00866680"/>
    <w:rsid w:val="00867182"/>
    <w:rsid w:val="0086722E"/>
    <w:rsid w:val="0086750B"/>
    <w:rsid w:val="00867760"/>
    <w:rsid w:val="00870DD6"/>
    <w:rsid w:val="00870FA3"/>
    <w:rsid w:val="00871103"/>
    <w:rsid w:val="00871AFB"/>
    <w:rsid w:val="00871FD7"/>
    <w:rsid w:val="00872528"/>
    <w:rsid w:val="00873165"/>
    <w:rsid w:val="008732CD"/>
    <w:rsid w:val="008741F9"/>
    <w:rsid w:val="00874350"/>
    <w:rsid w:val="00874D78"/>
    <w:rsid w:val="00875AB8"/>
    <w:rsid w:val="00875B38"/>
    <w:rsid w:val="00875E34"/>
    <w:rsid w:val="0087675B"/>
    <w:rsid w:val="00876D83"/>
    <w:rsid w:val="00877078"/>
    <w:rsid w:val="008770DF"/>
    <w:rsid w:val="008771DC"/>
    <w:rsid w:val="00881397"/>
    <w:rsid w:val="0088191C"/>
    <w:rsid w:val="00881E4C"/>
    <w:rsid w:val="00882211"/>
    <w:rsid w:val="00882B81"/>
    <w:rsid w:val="00883542"/>
    <w:rsid w:val="00883DCC"/>
    <w:rsid w:val="00884397"/>
    <w:rsid w:val="008848B0"/>
    <w:rsid w:val="00884ED6"/>
    <w:rsid w:val="0088513B"/>
    <w:rsid w:val="00885D27"/>
    <w:rsid w:val="00886E90"/>
    <w:rsid w:val="0088730F"/>
    <w:rsid w:val="0088735E"/>
    <w:rsid w:val="00890A43"/>
    <w:rsid w:val="00891137"/>
    <w:rsid w:val="00891A8D"/>
    <w:rsid w:val="008936F3"/>
    <w:rsid w:val="00893B5D"/>
    <w:rsid w:val="00893C2C"/>
    <w:rsid w:val="008949AD"/>
    <w:rsid w:val="00894AD5"/>
    <w:rsid w:val="00895BB6"/>
    <w:rsid w:val="008960F3"/>
    <w:rsid w:val="00896135"/>
    <w:rsid w:val="00896AC8"/>
    <w:rsid w:val="008970B8"/>
    <w:rsid w:val="008973EB"/>
    <w:rsid w:val="00897692"/>
    <w:rsid w:val="00897D99"/>
    <w:rsid w:val="008A011D"/>
    <w:rsid w:val="008A0275"/>
    <w:rsid w:val="008A0B24"/>
    <w:rsid w:val="008A0B68"/>
    <w:rsid w:val="008A0EBB"/>
    <w:rsid w:val="008A1512"/>
    <w:rsid w:val="008A1AF1"/>
    <w:rsid w:val="008A1F5A"/>
    <w:rsid w:val="008A274A"/>
    <w:rsid w:val="008A2957"/>
    <w:rsid w:val="008A2CDF"/>
    <w:rsid w:val="008A315E"/>
    <w:rsid w:val="008A348C"/>
    <w:rsid w:val="008A35DF"/>
    <w:rsid w:val="008A38E0"/>
    <w:rsid w:val="008A3DC8"/>
    <w:rsid w:val="008A455B"/>
    <w:rsid w:val="008A4EA7"/>
    <w:rsid w:val="008A4EBC"/>
    <w:rsid w:val="008A5166"/>
    <w:rsid w:val="008A572C"/>
    <w:rsid w:val="008A57AE"/>
    <w:rsid w:val="008A5C0E"/>
    <w:rsid w:val="008A61E4"/>
    <w:rsid w:val="008A7782"/>
    <w:rsid w:val="008A7D2B"/>
    <w:rsid w:val="008B0139"/>
    <w:rsid w:val="008B051E"/>
    <w:rsid w:val="008B05F6"/>
    <w:rsid w:val="008B0DBD"/>
    <w:rsid w:val="008B19DA"/>
    <w:rsid w:val="008B27E0"/>
    <w:rsid w:val="008B28A4"/>
    <w:rsid w:val="008B290E"/>
    <w:rsid w:val="008B3120"/>
    <w:rsid w:val="008B3131"/>
    <w:rsid w:val="008B3485"/>
    <w:rsid w:val="008B3B04"/>
    <w:rsid w:val="008B3F24"/>
    <w:rsid w:val="008B4B71"/>
    <w:rsid w:val="008B4FF4"/>
    <w:rsid w:val="008B531C"/>
    <w:rsid w:val="008B5A2E"/>
    <w:rsid w:val="008B6C89"/>
    <w:rsid w:val="008B6EA9"/>
    <w:rsid w:val="008B6F36"/>
    <w:rsid w:val="008B707D"/>
    <w:rsid w:val="008B7BDF"/>
    <w:rsid w:val="008B7D79"/>
    <w:rsid w:val="008C01D7"/>
    <w:rsid w:val="008C0402"/>
    <w:rsid w:val="008C094C"/>
    <w:rsid w:val="008C0DCB"/>
    <w:rsid w:val="008C1209"/>
    <w:rsid w:val="008C133E"/>
    <w:rsid w:val="008C1D90"/>
    <w:rsid w:val="008C1F11"/>
    <w:rsid w:val="008C2A3A"/>
    <w:rsid w:val="008C344F"/>
    <w:rsid w:val="008C35A2"/>
    <w:rsid w:val="008C47CD"/>
    <w:rsid w:val="008C4B3A"/>
    <w:rsid w:val="008C4BFB"/>
    <w:rsid w:val="008C54E2"/>
    <w:rsid w:val="008C597E"/>
    <w:rsid w:val="008C64C6"/>
    <w:rsid w:val="008C6765"/>
    <w:rsid w:val="008C68AD"/>
    <w:rsid w:val="008C737B"/>
    <w:rsid w:val="008C7452"/>
    <w:rsid w:val="008C7C4F"/>
    <w:rsid w:val="008D00E6"/>
    <w:rsid w:val="008D016E"/>
    <w:rsid w:val="008D0A05"/>
    <w:rsid w:val="008D0A60"/>
    <w:rsid w:val="008D1666"/>
    <w:rsid w:val="008D19A1"/>
    <w:rsid w:val="008D1C99"/>
    <w:rsid w:val="008D1CD1"/>
    <w:rsid w:val="008D2068"/>
    <w:rsid w:val="008D2103"/>
    <w:rsid w:val="008D2521"/>
    <w:rsid w:val="008D27DC"/>
    <w:rsid w:val="008D4091"/>
    <w:rsid w:val="008D43F6"/>
    <w:rsid w:val="008D44D2"/>
    <w:rsid w:val="008D5F9D"/>
    <w:rsid w:val="008D671A"/>
    <w:rsid w:val="008D6B52"/>
    <w:rsid w:val="008D6BA2"/>
    <w:rsid w:val="008E0719"/>
    <w:rsid w:val="008E0838"/>
    <w:rsid w:val="008E1F76"/>
    <w:rsid w:val="008E2040"/>
    <w:rsid w:val="008E2227"/>
    <w:rsid w:val="008E247E"/>
    <w:rsid w:val="008E2989"/>
    <w:rsid w:val="008E38CB"/>
    <w:rsid w:val="008E402A"/>
    <w:rsid w:val="008E478E"/>
    <w:rsid w:val="008E521D"/>
    <w:rsid w:val="008E586B"/>
    <w:rsid w:val="008E5D14"/>
    <w:rsid w:val="008E5EA8"/>
    <w:rsid w:val="008E6D7F"/>
    <w:rsid w:val="008E6F86"/>
    <w:rsid w:val="008E71B9"/>
    <w:rsid w:val="008E7444"/>
    <w:rsid w:val="008E75EC"/>
    <w:rsid w:val="008E789C"/>
    <w:rsid w:val="008E7D75"/>
    <w:rsid w:val="008F01CD"/>
    <w:rsid w:val="008F0880"/>
    <w:rsid w:val="008F0BA8"/>
    <w:rsid w:val="008F0E9F"/>
    <w:rsid w:val="008F2E98"/>
    <w:rsid w:val="008F3AAD"/>
    <w:rsid w:val="008F3ABA"/>
    <w:rsid w:val="008F3BE2"/>
    <w:rsid w:val="008F40C0"/>
    <w:rsid w:val="008F4860"/>
    <w:rsid w:val="008F49F0"/>
    <w:rsid w:val="008F5466"/>
    <w:rsid w:val="008F5A4B"/>
    <w:rsid w:val="008F5DBC"/>
    <w:rsid w:val="008F691C"/>
    <w:rsid w:val="008F6EF2"/>
    <w:rsid w:val="008F7A7F"/>
    <w:rsid w:val="009009C0"/>
    <w:rsid w:val="00900E8C"/>
    <w:rsid w:val="009011AB"/>
    <w:rsid w:val="0090139A"/>
    <w:rsid w:val="00901468"/>
    <w:rsid w:val="0090195B"/>
    <w:rsid w:val="009019C1"/>
    <w:rsid w:val="00901C33"/>
    <w:rsid w:val="00901D82"/>
    <w:rsid w:val="00902ECE"/>
    <w:rsid w:val="00903421"/>
    <w:rsid w:val="0090358E"/>
    <w:rsid w:val="0090375A"/>
    <w:rsid w:val="00904701"/>
    <w:rsid w:val="009050F4"/>
    <w:rsid w:val="00905541"/>
    <w:rsid w:val="00905A41"/>
    <w:rsid w:val="00905ACC"/>
    <w:rsid w:val="00905BC6"/>
    <w:rsid w:val="00905C29"/>
    <w:rsid w:val="00905C4A"/>
    <w:rsid w:val="00905D5A"/>
    <w:rsid w:val="00906109"/>
    <w:rsid w:val="009066B9"/>
    <w:rsid w:val="00906883"/>
    <w:rsid w:val="00906B43"/>
    <w:rsid w:val="009070B9"/>
    <w:rsid w:val="00907116"/>
    <w:rsid w:val="0090799F"/>
    <w:rsid w:val="0091077A"/>
    <w:rsid w:val="009107F8"/>
    <w:rsid w:val="00910D98"/>
    <w:rsid w:val="00910DF2"/>
    <w:rsid w:val="00911AF2"/>
    <w:rsid w:val="00912B11"/>
    <w:rsid w:val="00912E58"/>
    <w:rsid w:val="00912E5B"/>
    <w:rsid w:val="009131AE"/>
    <w:rsid w:val="0091358F"/>
    <w:rsid w:val="009136A9"/>
    <w:rsid w:val="00914402"/>
    <w:rsid w:val="009144AD"/>
    <w:rsid w:val="0091487C"/>
    <w:rsid w:val="00914E9A"/>
    <w:rsid w:val="00914F89"/>
    <w:rsid w:val="00915C5B"/>
    <w:rsid w:val="00915CF0"/>
    <w:rsid w:val="00916622"/>
    <w:rsid w:val="00916ADC"/>
    <w:rsid w:val="009172B4"/>
    <w:rsid w:val="0091741E"/>
    <w:rsid w:val="00917AE6"/>
    <w:rsid w:val="00920463"/>
    <w:rsid w:val="00920EE1"/>
    <w:rsid w:val="009212DB"/>
    <w:rsid w:val="00922718"/>
    <w:rsid w:val="0092330F"/>
    <w:rsid w:val="009233FF"/>
    <w:rsid w:val="00923BDA"/>
    <w:rsid w:val="00924452"/>
    <w:rsid w:val="00924E94"/>
    <w:rsid w:val="009254B6"/>
    <w:rsid w:val="00925E5E"/>
    <w:rsid w:val="009261D6"/>
    <w:rsid w:val="009264B4"/>
    <w:rsid w:val="00926824"/>
    <w:rsid w:val="00926A58"/>
    <w:rsid w:val="00926B5B"/>
    <w:rsid w:val="00926CF3"/>
    <w:rsid w:val="00926F10"/>
    <w:rsid w:val="00926F13"/>
    <w:rsid w:val="009274AE"/>
    <w:rsid w:val="00930188"/>
    <w:rsid w:val="0093035B"/>
    <w:rsid w:val="009307A4"/>
    <w:rsid w:val="00930DFA"/>
    <w:rsid w:val="00930F07"/>
    <w:rsid w:val="00931625"/>
    <w:rsid w:val="00932904"/>
    <w:rsid w:val="0093394A"/>
    <w:rsid w:val="00933F0D"/>
    <w:rsid w:val="0093488A"/>
    <w:rsid w:val="0093490E"/>
    <w:rsid w:val="00935522"/>
    <w:rsid w:val="009356AB"/>
    <w:rsid w:val="009358CC"/>
    <w:rsid w:val="0093619E"/>
    <w:rsid w:val="00936841"/>
    <w:rsid w:val="0093691D"/>
    <w:rsid w:val="0093697B"/>
    <w:rsid w:val="00936BD5"/>
    <w:rsid w:val="009376CE"/>
    <w:rsid w:val="00937DDF"/>
    <w:rsid w:val="009401AC"/>
    <w:rsid w:val="009402E0"/>
    <w:rsid w:val="00940753"/>
    <w:rsid w:val="009410EC"/>
    <w:rsid w:val="009415ED"/>
    <w:rsid w:val="0094168D"/>
    <w:rsid w:val="00941D75"/>
    <w:rsid w:val="00941EE9"/>
    <w:rsid w:val="00941F6B"/>
    <w:rsid w:val="00942616"/>
    <w:rsid w:val="00942781"/>
    <w:rsid w:val="00942AF7"/>
    <w:rsid w:val="00942CF6"/>
    <w:rsid w:val="00943FDD"/>
    <w:rsid w:val="00944ACF"/>
    <w:rsid w:val="00944CF4"/>
    <w:rsid w:val="00945425"/>
    <w:rsid w:val="0094551E"/>
    <w:rsid w:val="0094583B"/>
    <w:rsid w:val="0094614D"/>
    <w:rsid w:val="009461AD"/>
    <w:rsid w:val="0094651C"/>
    <w:rsid w:val="00947969"/>
    <w:rsid w:val="00947A55"/>
    <w:rsid w:val="009505D6"/>
    <w:rsid w:val="00950CD3"/>
    <w:rsid w:val="00952A13"/>
    <w:rsid w:val="00952D55"/>
    <w:rsid w:val="00953AE5"/>
    <w:rsid w:val="00953EB5"/>
    <w:rsid w:val="00954060"/>
    <w:rsid w:val="00954425"/>
    <w:rsid w:val="0095506A"/>
    <w:rsid w:val="00955C78"/>
    <w:rsid w:val="00955EF9"/>
    <w:rsid w:val="00955F53"/>
    <w:rsid w:val="009562EB"/>
    <w:rsid w:val="00957334"/>
    <w:rsid w:val="009575A9"/>
    <w:rsid w:val="00957B4A"/>
    <w:rsid w:val="00957D33"/>
    <w:rsid w:val="00960482"/>
    <w:rsid w:val="0096058E"/>
    <w:rsid w:val="00960827"/>
    <w:rsid w:val="009616B1"/>
    <w:rsid w:val="00961807"/>
    <w:rsid w:val="00961894"/>
    <w:rsid w:val="00962E7F"/>
    <w:rsid w:val="00962E97"/>
    <w:rsid w:val="009635C6"/>
    <w:rsid w:val="0096367E"/>
    <w:rsid w:val="00963698"/>
    <w:rsid w:val="009638DD"/>
    <w:rsid w:val="00963E07"/>
    <w:rsid w:val="0096436D"/>
    <w:rsid w:val="00964B23"/>
    <w:rsid w:val="00964F59"/>
    <w:rsid w:val="00965344"/>
    <w:rsid w:val="0096568F"/>
    <w:rsid w:val="00965A59"/>
    <w:rsid w:val="00966175"/>
    <w:rsid w:val="00966C39"/>
    <w:rsid w:val="009672EB"/>
    <w:rsid w:val="009673CE"/>
    <w:rsid w:val="00967877"/>
    <w:rsid w:val="00967998"/>
    <w:rsid w:val="009716C5"/>
    <w:rsid w:val="00971CF5"/>
    <w:rsid w:val="00972474"/>
    <w:rsid w:val="00972B36"/>
    <w:rsid w:val="00973A3F"/>
    <w:rsid w:val="00974696"/>
    <w:rsid w:val="009747C1"/>
    <w:rsid w:val="00975025"/>
    <w:rsid w:val="00975968"/>
    <w:rsid w:val="00976234"/>
    <w:rsid w:val="009764D3"/>
    <w:rsid w:val="00976895"/>
    <w:rsid w:val="00976B5B"/>
    <w:rsid w:val="00976D99"/>
    <w:rsid w:val="00977257"/>
    <w:rsid w:val="00977852"/>
    <w:rsid w:val="00977C30"/>
    <w:rsid w:val="00980AC9"/>
    <w:rsid w:val="0098172C"/>
    <w:rsid w:val="00981C8A"/>
    <w:rsid w:val="00981F21"/>
    <w:rsid w:val="009820FD"/>
    <w:rsid w:val="009821CB"/>
    <w:rsid w:val="00982936"/>
    <w:rsid w:val="00982E94"/>
    <w:rsid w:val="009834FC"/>
    <w:rsid w:val="0098355D"/>
    <w:rsid w:val="00985478"/>
    <w:rsid w:val="009859BC"/>
    <w:rsid w:val="0098622C"/>
    <w:rsid w:val="00986237"/>
    <w:rsid w:val="00986374"/>
    <w:rsid w:val="009864FB"/>
    <w:rsid w:val="0098667C"/>
    <w:rsid w:val="00986E33"/>
    <w:rsid w:val="00986FAD"/>
    <w:rsid w:val="0098700C"/>
    <w:rsid w:val="00987416"/>
    <w:rsid w:val="009876A8"/>
    <w:rsid w:val="00990E81"/>
    <w:rsid w:val="009913C3"/>
    <w:rsid w:val="00991E78"/>
    <w:rsid w:val="009921A0"/>
    <w:rsid w:val="009927CC"/>
    <w:rsid w:val="00992893"/>
    <w:rsid w:val="0099289D"/>
    <w:rsid w:val="00992B19"/>
    <w:rsid w:val="00992DB7"/>
    <w:rsid w:val="00992F8B"/>
    <w:rsid w:val="009932F6"/>
    <w:rsid w:val="00993D23"/>
    <w:rsid w:val="00994449"/>
    <w:rsid w:val="00994AA9"/>
    <w:rsid w:val="00994B2C"/>
    <w:rsid w:val="00994FA2"/>
    <w:rsid w:val="00995902"/>
    <w:rsid w:val="00995EE1"/>
    <w:rsid w:val="00996178"/>
    <w:rsid w:val="0099621B"/>
    <w:rsid w:val="009971F5"/>
    <w:rsid w:val="00997DFB"/>
    <w:rsid w:val="009A068E"/>
    <w:rsid w:val="009A072B"/>
    <w:rsid w:val="009A108E"/>
    <w:rsid w:val="009A126C"/>
    <w:rsid w:val="009A12CB"/>
    <w:rsid w:val="009A1576"/>
    <w:rsid w:val="009A167E"/>
    <w:rsid w:val="009A286E"/>
    <w:rsid w:val="009A2DA1"/>
    <w:rsid w:val="009A2DEF"/>
    <w:rsid w:val="009A3258"/>
    <w:rsid w:val="009A33BD"/>
    <w:rsid w:val="009A3B26"/>
    <w:rsid w:val="009A4A6A"/>
    <w:rsid w:val="009A51FD"/>
    <w:rsid w:val="009A5485"/>
    <w:rsid w:val="009A6848"/>
    <w:rsid w:val="009A6DB4"/>
    <w:rsid w:val="009A6F12"/>
    <w:rsid w:val="009A727A"/>
    <w:rsid w:val="009A7A10"/>
    <w:rsid w:val="009A7E79"/>
    <w:rsid w:val="009B028F"/>
    <w:rsid w:val="009B0293"/>
    <w:rsid w:val="009B0326"/>
    <w:rsid w:val="009B0A48"/>
    <w:rsid w:val="009B0C5A"/>
    <w:rsid w:val="009B0D9F"/>
    <w:rsid w:val="009B0F76"/>
    <w:rsid w:val="009B238B"/>
    <w:rsid w:val="009B2494"/>
    <w:rsid w:val="009B2F6C"/>
    <w:rsid w:val="009B2FA3"/>
    <w:rsid w:val="009B2FF0"/>
    <w:rsid w:val="009B322B"/>
    <w:rsid w:val="009B3A81"/>
    <w:rsid w:val="009B3AF8"/>
    <w:rsid w:val="009B61E3"/>
    <w:rsid w:val="009B757B"/>
    <w:rsid w:val="009C06A3"/>
    <w:rsid w:val="009C28F5"/>
    <w:rsid w:val="009C2AFC"/>
    <w:rsid w:val="009C2C9F"/>
    <w:rsid w:val="009C3639"/>
    <w:rsid w:val="009C38BA"/>
    <w:rsid w:val="009C4D3D"/>
    <w:rsid w:val="009C4F3E"/>
    <w:rsid w:val="009C4FFC"/>
    <w:rsid w:val="009C526D"/>
    <w:rsid w:val="009C5455"/>
    <w:rsid w:val="009C5A68"/>
    <w:rsid w:val="009C5E95"/>
    <w:rsid w:val="009D054F"/>
    <w:rsid w:val="009D0CB3"/>
    <w:rsid w:val="009D0D4F"/>
    <w:rsid w:val="009D127F"/>
    <w:rsid w:val="009D1452"/>
    <w:rsid w:val="009D1563"/>
    <w:rsid w:val="009D2964"/>
    <w:rsid w:val="009D296F"/>
    <w:rsid w:val="009D298D"/>
    <w:rsid w:val="009D2CE7"/>
    <w:rsid w:val="009D2CFE"/>
    <w:rsid w:val="009D2DAC"/>
    <w:rsid w:val="009D2DF5"/>
    <w:rsid w:val="009D302D"/>
    <w:rsid w:val="009D339B"/>
    <w:rsid w:val="009D4259"/>
    <w:rsid w:val="009D429B"/>
    <w:rsid w:val="009D42FB"/>
    <w:rsid w:val="009D4D87"/>
    <w:rsid w:val="009D5491"/>
    <w:rsid w:val="009D59FD"/>
    <w:rsid w:val="009D5AE4"/>
    <w:rsid w:val="009D61D5"/>
    <w:rsid w:val="009D67DC"/>
    <w:rsid w:val="009D6BA6"/>
    <w:rsid w:val="009D6C10"/>
    <w:rsid w:val="009D6CB9"/>
    <w:rsid w:val="009D75EF"/>
    <w:rsid w:val="009E08A7"/>
    <w:rsid w:val="009E0AFE"/>
    <w:rsid w:val="009E20D0"/>
    <w:rsid w:val="009E23A6"/>
    <w:rsid w:val="009E268F"/>
    <w:rsid w:val="009E2905"/>
    <w:rsid w:val="009E2EAC"/>
    <w:rsid w:val="009E3D05"/>
    <w:rsid w:val="009E3EAC"/>
    <w:rsid w:val="009E4005"/>
    <w:rsid w:val="009E427D"/>
    <w:rsid w:val="009E4EF2"/>
    <w:rsid w:val="009E500A"/>
    <w:rsid w:val="009E5739"/>
    <w:rsid w:val="009E5751"/>
    <w:rsid w:val="009E6957"/>
    <w:rsid w:val="009E7BFE"/>
    <w:rsid w:val="009F0086"/>
    <w:rsid w:val="009F0457"/>
    <w:rsid w:val="009F04E9"/>
    <w:rsid w:val="009F0517"/>
    <w:rsid w:val="009F0976"/>
    <w:rsid w:val="009F0DA2"/>
    <w:rsid w:val="009F1166"/>
    <w:rsid w:val="009F1884"/>
    <w:rsid w:val="009F2722"/>
    <w:rsid w:val="009F3CEB"/>
    <w:rsid w:val="009F3D52"/>
    <w:rsid w:val="009F3D6E"/>
    <w:rsid w:val="009F4122"/>
    <w:rsid w:val="009F4522"/>
    <w:rsid w:val="009F4757"/>
    <w:rsid w:val="009F4CD5"/>
    <w:rsid w:val="009F553F"/>
    <w:rsid w:val="009F5B54"/>
    <w:rsid w:val="009F68F2"/>
    <w:rsid w:val="009F713D"/>
    <w:rsid w:val="009F75EF"/>
    <w:rsid w:val="009F7F7B"/>
    <w:rsid w:val="00A006ED"/>
    <w:rsid w:val="00A0095B"/>
    <w:rsid w:val="00A00A91"/>
    <w:rsid w:val="00A00E5A"/>
    <w:rsid w:val="00A01075"/>
    <w:rsid w:val="00A010B7"/>
    <w:rsid w:val="00A017BA"/>
    <w:rsid w:val="00A01CD2"/>
    <w:rsid w:val="00A01DEF"/>
    <w:rsid w:val="00A0265F"/>
    <w:rsid w:val="00A027BF"/>
    <w:rsid w:val="00A02EE4"/>
    <w:rsid w:val="00A0310C"/>
    <w:rsid w:val="00A037AA"/>
    <w:rsid w:val="00A038B0"/>
    <w:rsid w:val="00A03CE6"/>
    <w:rsid w:val="00A044E7"/>
    <w:rsid w:val="00A05077"/>
    <w:rsid w:val="00A05604"/>
    <w:rsid w:val="00A062B3"/>
    <w:rsid w:val="00A06C49"/>
    <w:rsid w:val="00A076E5"/>
    <w:rsid w:val="00A1016C"/>
    <w:rsid w:val="00A106F2"/>
    <w:rsid w:val="00A10D5D"/>
    <w:rsid w:val="00A12665"/>
    <w:rsid w:val="00A126A2"/>
    <w:rsid w:val="00A12963"/>
    <w:rsid w:val="00A129F1"/>
    <w:rsid w:val="00A137DD"/>
    <w:rsid w:val="00A13813"/>
    <w:rsid w:val="00A13C36"/>
    <w:rsid w:val="00A14473"/>
    <w:rsid w:val="00A14B1F"/>
    <w:rsid w:val="00A150C5"/>
    <w:rsid w:val="00A1525B"/>
    <w:rsid w:val="00A15524"/>
    <w:rsid w:val="00A15743"/>
    <w:rsid w:val="00A15D6B"/>
    <w:rsid w:val="00A15E96"/>
    <w:rsid w:val="00A161D1"/>
    <w:rsid w:val="00A16767"/>
    <w:rsid w:val="00A17062"/>
    <w:rsid w:val="00A1713F"/>
    <w:rsid w:val="00A17243"/>
    <w:rsid w:val="00A175AB"/>
    <w:rsid w:val="00A17AE4"/>
    <w:rsid w:val="00A17C5C"/>
    <w:rsid w:val="00A17C74"/>
    <w:rsid w:val="00A17F1F"/>
    <w:rsid w:val="00A2033A"/>
    <w:rsid w:val="00A2045C"/>
    <w:rsid w:val="00A20524"/>
    <w:rsid w:val="00A20A36"/>
    <w:rsid w:val="00A21659"/>
    <w:rsid w:val="00A21825"/>
    <w:rsid w:val="00A21980"/>
    <w:rsid w:val="00A22193"/>
    <w:rsid w:val="00A22A4C"/>
    <w:rsid w:val="00A23150"/>
    <w:rsid w:val="00A23C1C"/>
    <w:rsid w:val="00A24B13"/>
    <w:rsid w:val="00A2540B"/>
    <w:rsid w:val="00A2584F"/>
    <w:rsid w:val="00A25886"/>
    <w:rsid w:val="00A25E75"/>
    <w:rsid w:val="00A2651B"/>
    <w:rsid w:val="00A2662B"/>
    <w:rsid w:val="00A26DAC"/>
    <w:rsid w:val="00A274D1"/>
    <w:rsid w:val="00A27500"/>
    <w:rsid w:val="00A27FA6"/>
    <w:rsid w:val="00A31086"/>
    <w:rsid w:val="00A312EC"/>
    <w:rsid w:val="00A31525"/>
    <w:rsid w:val="00A315B4"/>
    <w:rsid w:val="00A320B8"/>
    <w:rsid w:val="00A32171"/>
    <w:rsid w:val="00A321A3"/>
    <w:rsid w:val="00A3267D"/>
    <w:rsid w:val="00A330A6"/>
    <w:rsid w:val="00A3350A"/>
    <w:rsid w:val="00A34429"/>
    <w:rsid w:val="00A34683"/>
    <w:rsid w:val="00A346BC"/>
    <w:rsid w:val="00A3492D"/>
    <w:rsid w:val="00A350E5"/>
    <w:rsid w:val="00A35172"/>
    <w:rsid w:val="00A363B3"/>
    <w:rsid w:val="00A3659E"/>
    <w:rsid w:val="00A36748"/>
    <w:rsid w:val="00A37D28"/>
    <w:rsid w:val="00A37F2D"/>
    <w:rsid w:val="00A4044D"/>
    <w:rsid w:val="00A41229"/>
    <w:rsid w:val="00A41E01"/>
    <w:rsid w:val="00A4267C"/>
    <w:rsid w:val="00A42D5F"/>
    <w:rsid w:val="00A42D6C"/>
    <w:rsid w:val="00A42F7E"/>
    <w:rsid w:val="00A4342C"/>
    <w:rsid w:val="00A4346B"/>
    <w:rsid w:val="00A44C12"/>
    <w:rsid w:val="00A45B17"/>
    <w:rsid w:val="00A45B9C"/>
    <w:rsid w:val="00A45C11"/>
    <w:rsid w:val="00A45F71"/>
    <w:rsid w:val="00A46B63"/>
    <w:rsid w:val="00A46C36"/>
    <w:rsid w:val="00A5020A"/>
    <w:rsid w:val="00A5114C"/>
    <w:rsid w:val="00A5140E"/>
    <w:rsid w:val="00A51865"/>
    <w:rsid w:val="00A5197C"/>
    <w:rsid w:val="00A5250E"/>
    <w:rsid w:val="00A528E8"/>
    <w:rsid w:val="00A5361F"/>
    <w:rsid w:val="00A5423A"/>
    <w:rsid w:val="00A54D01"/>
    <w:rsid w:val="00A553CB"/>
    <w:rsid w:val="00A55CAD"/>
    <w:rsid w:val="00A56143"/>
    <w:rsid w:val="00A5630E"/>
    <w:rsid w:val="00A563DB"/>
    <w:rsid w:val="00A56559"/>
    <w:rsid w:val="00A56698"/>
    <w:rsid w:val="00A56A13"/>
    <w:rsid w:val="00A56F11"/>
    <w:rsid w:val="00A57058"/>
    <w:rsid w:val="00A573B0"/>
    <w:rsid w:val="00A573DE"/>
    <w:rsid w:val="00A57460"/>
    <w:rsid w:val="00A57B2D"/>
    <w:rsid w:val="00A57BB8"/>
    <w:rsid w:val="00A57C35"/>
    <w:rsid w:val="00A57F25"/>
    <w:rsid w:val="00A605CB"/>
    <w:rsid w:val="00A60784"/>
    <w:rsid w:val="00A60E7F"/>
    <w:rsid w:val="00A60F31"/>
    <w:rsid w:val="00A612E4"/>
    <w:rsid w:val="00A61902"/>
    <w:rsid w:val="00A61B42"/>
    <w:rsid w:val="00A620A7"/>
    <w:rsid w:val="00A6250D"/>
    <w:rsid w:val="00A6317F"/>
    <w:rsid w:val="00A63359"/>
    <w:rsid w:val="00A63D81"/>
    <w:rsid w:val="00A64201"/>
    <w:rsid w:val="00A6594E"/>
    <w:rsid w:val="00A65FD2"/>
    <w:rsid w:val="00A660FB"/>
    <w:rsid w:val="00A66543"/>
    <w:rsid w:val="00A66598"/>
    <w:rsid w:val="00A66B1E"/>
    <w:rsid w:val="00A66BB7"/>
    <w:rsid w:val="00A67D21"/>
    <w:rsid w:val="00A70402"/>
    <w:rsid w:val="00A7104F"/>
    <w:rsid w:val="00A712FE"/>
    <w:rsid w:val="00A7160D"/>
    <w:rsid w:val="00A71C4F"/>
    <w:rsid w:val="00A71F1D"/>
    <w:rsid w:val="00A73186"/>
    <w:rsid w:val="00A746DF"/>
    <w:rsid w:val="00A74F26"/>
    <w:rsid w:val="00A7508A"/>
    <w:rsid w:val="00A766E4"/>
    <w:rsid w:val="00A7744C"/>
    <w:rsid w:val="00A801D6"/>
    <w:rsid w:val="00A80C2C"/>
    <w:rsid w:val="00A80F3F"/>
    <w:rsid w:val="00A80FDB"/>
    <w:rsid w:val="00A815A5"/>
    <w:rsid w:val="00A816A9"/>
    <w:rsid w:val="00A816ED"/>
    <w:rsid w:val="00A81961"/>
    <w:rsid w:val="00A81AC7"/>
    <w:rsid w:val="00A81B7F"/>
    <w:rsid w:val="00A81F7B"/>
    <w:rsid w:val="00A82116"/>
    <w:rsid w:val="00A82AF4"/>
    <w:rsid w:val="00A82BA2"/>
    <w:rsid w:val="00A82D6F"/>
    <w:rsid w:val="00A82E52"/>
    <w:rsid w:val="00A830C4"/>
    <w:rsid w:val="00A833CA"/>
    <w:rsid w:val="00A8357C"/>
    <w:rsid w:val="00A835C9"/>
    <w:rsid w:val="00A83E32"/>
    <w:rsid w:val="00A83FDD"/>
    <w:rsid w:val="00A84241"/>
    <w:rsid w:val="00A84258"/>
    <w:rsid w:val="00A84294"/>
    <w:rsid w:val="00A84504"/>
    <w:rsid w:val="00A84D94"/>
    <w:rsid w:val="00A85052"/>
    <w:rsid w:val="00A851FA"/>
    <w:rsid w:val="00A869EB"/>
    <w:rsid w:val="00A86CA7"/>
    <w:rsid w:val="00A875A8"/>
    <w:rsid w:val="00A9045D"/>
    <w:rsid w:val="00A90A81"/>
    <w:rsid w:val="00A90AC9"/>
    <w:rsid w:val="00A90BD3"/>
    <w:rsid w:val="00A91120"/>
    <w:rsid w:val="00A923BD"/>
    <w:rsid w:val="00A9262B"/>
    <w:rsid w:val="00A93334"/>
    <w:rsid w:val="00A93AF7"/>
    <w:rsid w:val="00A93E8D"/>
    <w:rsid w:val="00A95019"/>
    <w:rsid w:val="00A955BF"/>
    <w:rsid w:val="00A95879"/>
    <w:rsid w:val="00A95F6D"/>
    <w:rsid w:val="00A967A5"/>
    <w:rsid w:val="00A9694B"/>
    <w:rsid w:val="00A96FF7"/>
    <w:rsid w:val="00A970D1"/>
    <w:rsid w:val="00A971A7"/>
    <w:rsid w:val="00AA0A6E"/>
    <w:rsid w:val="00AA0A8E"/>
    <w:rsid w:val="00AA16B6"/>
    <w:rsid w:val="00AA17FC"/>
    <w:rsid w:val="00AA2176"/>
    <w:rsid w:val="00AA2235"/>
    <w:rsid w:val="00AA27BE"/>
    <w:rsid w:val="00AA286A"/>
    <w:rsid w:val="00AA2988"/>
    <w:rsid w:val="00AA29EC"/>
    <w:rsid w:val="00AA2A29"/>
    <w:rsid w:val="00AA321A"/>
    <w:rsid w:val="00AA3C81"/>
    <w:rsid w:val="00AA4211"/>
    <w:rsid w:val="00AA45C4"/>
    <w:rsid w:val="00AA51D4"/>
    <w:rsid w:val="00AA5296"/>
    <w:rsid w:val="00AA5322"/>
    <w:rsid w:val="00AA5E4A"/>
    <w:rsid w:val="00AA62DB"/>
    <w:rsid w:val="00AA6E03"/>
    <w:rsid w:val="00AA731E"/>
    <w:rsid w:val="00AA7507"/>
    <w:rsid w:val="00AA7813"/>
    <w:rsid w:val="00AB0480"/>
    <w:rsid w:val="00AB08BC"/>
    <w:rsid w:val="00AB0A58"/>
    <w:rsid w:val="00AB1103"/>
    <w:rsid w:val="00AB174C"/>
    <w:rsid w:val="00AB1790"/>
    <w:rsid w:val="00AB1809"/>
    <w:rsid w:val="00AB23A9"/>
    <w:rsid w:val="00AB2587"/>
    <w:rsid w:val="00AB2C14"/>
    <w:rsid w:val="00AB3260"/>
    <w:rsid w:val="00AB440E"/>
    <w:rsid w:val="00AB4E80"/>
    <w:rsid w:val="00AB5395"/>
    <w:rsid w:val="00AB556A"/>
    <w:rsid w:val="00AB58DF"/>
    <w:rsid w:val="00AB5A02"/>
    <w:rsid w:val="00AB5C05"/>
    <w:rsid w:val="00AB6F42"/>
    <w:rsid w:val="00AB7931"/>
    <w:rsid w:val="00AB7A08"/>
    <w:rsid w:val="00AB7C1A"/>
    <w:rsid w:val="00AC062B"/>
    <w:rsid w:val="00AC08C6"/>
    <w:rsid w:val="00AC119E"/>
    <w:rsid w:val="00AC125E"/>
    <w:rsid w:val="00AC1DBB"/>
    <w:rsid w:val="00AC2A13"/>
    <w:rsid w:val="00AC2EA9"/>
    <w:rsid w:val="00AC31FA"/>
    <w:rsid w:val="00AC3757"/>
    <w:rsid w:val="00AC3842"/>
    <w:rsid w:val="00AC3E56"/>
    <w:rsid w:val="00AC3E9F"/>
    <w:rsid w:val="00AC4730"/>
    <w:rsid w:val="00AC47B0"/>
    <w:rsid w:val="00AC6A45"/>
    <w:rsid w:val="00AC6C94"/>
    <w:rsid w:val="00AC6F4E"/>
    <w:rsid w:val="00AD0161"/>
    <w:rsid w:val="00AD0920"/>
    <w:rsid w:val="00AD0B6A"/>
    <w:rsid w:val="00AD1721"/>
    <w:rsid w:val="00AD1BF9"/>
    <w:rsid w:val="00AD27B9"/>
    <w:rsid w:val="00AD28BB"/>
    <w:rsid w:val="00AD38DB"/>
    <w:rsid w:val="00AD3FC5"/>
    <w:rsid w:val="00AD4857"/>
    <w:rsid w:val="00AD5068"/>
    <w:rsid w:val="00AD54E1"/>
    <w:rsid w:val="00AD5617"/>
    <w:rsid w:val="00AD6773"/>
    <w:rsid w:val="00AD6885"/>
    <w:rsid w:val="00AD6B93"/>
    <w:rsid w:val="00AD6F85"/>
    <w:rsid w:val="00AD76C3"/>
    <w:rsid w:val="00AE00CA"/>
    <w:rsid w:val="00AE0490"/>
    <w:rsid w:val="00AE061B"/>
    <w:rsid w:val="00AE09D7"/>
    <w:rsid w:val="00AE1159"/>
    <w:rsid w:val="00AE1E74"/>
    <w:rsid w:val="00AE1EF7"/>
    <w:rsid w:val="00AE1F5F"/>
    <w:rsid w:val="00AE27F8"/>
    <w:rsid w:val="00AE35FB"/>
    <w:rsid w:val="00AE3D9B"/>
    <w:rsid w:val="00AE3ED7"/>
    <w:rsid w:val="00AE481C"/>
    <w:rsid w:val="00AE4D19"/>
    <w:rsid w:val="00AE4E1E"/>
    <w:rsid w:val="00AE4FD5"/>
    <w:rsid w:val="00AE55BB"/>
    <w:rsid w:val="00AE5CA8"/>
    <w:rsid w:val="00AE5D92"/>
    <w:rsid w:val="00AE6103"/>
    <w:rsid w:val="00AE61C3"/>
    <w:rsid w:val="00AE6A03"/>
    <w:rsid w:val="00AE6AD3"/>
    <w:rsid w:val="00AE6C2A"/>
    <w:rsid w:val="00AE7378"/>
    <w:rsid w:val="00AE7F78"/>
    <w:rsid w:val="00AE7FB7"/>
    <w:rsid w:val="00AF0018"/>
    <w:rsid w:val="00AF0289"/>
    <w:rsid w:val="00AF06D9"/>
    <w:rsid w:val="00AF0798"/>
    <w:rsid w:val="00AF0906"/>
    <w:rsid w:val="00AF1B80"/>
    <w:rsid w:val="00AF2853"/>
    <w:rsid w:val="00AF339D"/>
    <w:rsid w:val="00AF3919"/>
    <w:rsid w:val="00AF3DD4"/>
    <w:rsid w:val="00AF3E48"/>
    <w:rsid w:val="00AF48AA"/>
    <w:rsid w:val="00AF4ACD"/>
    <w:rsid w:val="00AF4BE8"/>
    <w:rsid w:val="00AF5455"/>
    <w:rsid w:val="00AF549B"/>
    <w:rsid w:val="00AF5F2E"/>
    <w:rsid w:val="00AF64D7"/>
    <w:rsid w:val="00AF67C0"/>
    <w:rsid w:val="00AF6C12"/>
    <w:rsid w:val="00AF7146"/>
    <w:rsid w:val="00AF77EE"/>
    <w:rsid w:val="00B018D7"/>
    <w:rsid w:val="00B022DE"/>
    <w:rsid w:val="00B02729"/>
    <w:rsid w:val="00B0289D"/>
    <w:rsid w:val="00B02E42"/>
    <w:rsid w:val="00B03E7B"/>
    <w:rsid w:val="00B03ECE"/>
    <w:rsid w:val="00B04061"/>
    <w:rsid w:val="00B05D6B"/>
    <w:rsid w:val="00B05F83"/>
    <w:rsid w:val="00B060BA"/>
    <w:rsid w:val="00B064AC"/>
    <w:rsid w:val="00B065C3"/>
    <w:rsid w:val="00B06795"/>
    <w:rsid w:val="00B06BCB"/>
    <w:rsid w:val="00B0745E"/>
    <w:rsid w:val="00B07ABA"/>
    <w:rsid w:val="00B07C66"/>
    <w:rsid w:val="00B101C6"/>
    <w:rsid w:val="00B1055C"/>
    <w:rsid w:val="00B11223"/>
    <w:rsid w:val="00B1157C"/>
    <w:rsid w:val="00B11B36"/>
    <w:rsid w:val="00B11D74"/>
    <w:rsid w:val="00B12D87"/>
    <w:rsid w:val="00B1383C"/>
    <w:rsid w:val="00B14605"/>
    <w:rsid w:val="00B14C6B"/>
    <w:rsid w:val="00B15F23"/>
    <w:rsid w:val="00B1608E"/>
    <w:rsid w:val="00B16136"/>
    <w:rsid w:val="00B167A1"/>
    <w:rsid w:val="00B16A58"/>
    <w:rsid w:val="00B16AC4"/>
    <w:rsid w:val="00B1735E"/>
    <w:rsid w:val="00B17664"/>
    <w:rsid w:val="00B20284"/>
    <w:rsid w:val="00B20408"/>
    <w:rsid w:val="00B21AF8"/>
    <w:rsid w:val="00B226F9"/>
    <w:rsid w:val="00B2499B"/>
    <w:rsid w:val="00B2598F"/>
    <w:rsid w:val="00B259E6"/>
    <w:rsid w:val="00B25AEC"/>
    <w:rsid w:val="00B25F2F"/>
    <w:rsid w:val="00B26115"/>
    <w:rsid w:val="00B27C89"/>
    <w:rsid w:val="00B31035"/>
    <w:rsid w:val="00B311E0"/>
    <w:rsid w:val="00B314EC"/>
    <w:rsid w:val="00B31ECE"/>
    <w:rsid w:val="00B32280"/>
    <w:rsid w:val="00B3315B"/>
    <w:rsid w:val="00B34749"/>
    <w:rsid w:val="00B34A9B"/>
    <w:rsid w:val="00B36041"/>
    <w:rsid w:val="00B36387"/>
    <w:rsid w:val="00B37281"/>
    <w:rsid w:val="00B37716"/>
    <w:rsid w:val="00B37BDB"/>
    <w:rsid w:val="00B41058"/>
    <w:rsid w:val="00B41118"/>
    <w:rsid w:val="00B41819"/>
    <w:rsid w:val="00B41C1D"/>
    <w:rsid w:val="00B41C6C"/>
    <w:rsid w:val="00B41DB7"/>
    <w:rsid w:val="00B41E55"/>
    <w:rsid w:val="00B41FB5"/>
    <w:rsid w:val="00B42969"/>
    <w:rsid w:val="00B4354B"/>
    <w:rsid w:val="00B43911"/>
    <w:rsid w:val="00B439FB"/>
    <w:rsid w:val="00B43DD7"/>
    <w:rsid w:val="00B44378"/>
    <w:rsid w:val="00B447DF"/>
    <w:rsid w:val="00B448F6"/>
    <w:rsid w:val="00B44A28"/>
    <w:rsid w:val="00B44EBF"/>
    <w:rsid w:val="00B450E5"/>
    <w:rsid w:val="00B454B8"/>
    <w:rsid w:val="00B45A56"/>
    <w:rsid w:val="00B463DB"/>
    <w:rsid w:val="00B46BD0"/>
    <w:rsid w:val="00B46D64"/>
    <w:rsid w:val="00B4702F"/>
    <w:rsid w:val="00B4736C"/>
    <w:rsid w:val="00B47EEF"/>
    <w:rsid w:val="00B47F8D"/>
    <w:rsid w:val="00B50067"/>
    <w:rsid w:val="00B504BF"/>
    <w:rsid w:val="00B50707"/>
    <w:rsid w:val="00B50AFB"/>
    <w:rsid w:val="00B51217"/>
    <w:rsid w:val="00B5127C"/>
    <w:rsid w:val="00B51784"/>
    <w:rsid w:val="00B517D0"/>
    <w:rsid w:val="00B51A8A"/>
    <w:rsid w:val="00B51B4E"/>
    <w:rsid w:val="00B51DEC"/>
    <w:rsid w:val="00B52C16"/>
    <w:rsid w:val="00B52D84"/>
    <w:rsid w:val="00B530BC"/>
    <w:rsid w:val="00B53284"/>
    <w:rsid w:val="00B539CA"/>
    <w:rsid w:val="00B53D14"/>
    <w:rsid w:val="00B542D9"/>
    <w:rsid w:val="00B54627"/>
    <w:rsid w:val="00B546BB"/>
    <w:rsid w:val="00B54E0D"/>
    <w:rsid w:val="00B54F51"/>
    <w:rsid w:val="00B55374"/>
    <w:rsid w:val="00B55A02"/>
    <w:rsid w:val="00B564A3"/>
    <w:rsid w:val="00B56BE7"/>
    <w:rsid w:val="00B570C0"/>
    <w:rsid w:val="00B57221"/>
    <w:rsid w:val="00B57337"/>
    <w:rsid w:val="00B606AF"/>
    <w:rsid w:val="00B60925"/>
    <w:rsid w:val="00B614B3"/>
    <w:rsid w:val="00B61DA4"/>
    <w:rsid w:val="00B6231E"/>
    <w:rsid w:val="00B62794"/>
    <w:rsid w:val="00B6301B"/>
    <w:rsid w:val="00B63670"/>
    <w:rsid w:val="00B6373C"/>
    <w:rsid w:val="00B6511A"/>
    <w:rsid w:val="00B6539C"/>
    <w:rsid w:val="00B6541A"/>
    <w:rsid w:val="00B65843"/>
    <w:rsid w:val="00B663DD"/>
    <w:rsid w:val="00B66606"/>
    <w:rsid w:val="00B66880"/>
    <w:rsid w:val="00B66DFC"/>
    <w:rsid w:val="00B66E33"/>
    <w:rsid w:val="00B66E97"/>
    <w:rsid w:val="00B67382"/>
    <w:rsid w:val="00B679AB"/>
    <w:rsid w:val="00B67AA1"/>
    <w:rsid w:val="00B67B63"/>
    <w:rsid w:val="00B70654"/>
    <w:rsid w:val="00B707EE"/>
    <w:rsid w:val="00B70A69"/>
    <w:rsid w:val="00B70FEF"/>
    <w:rsid w:val="00B710B1"/>
    <w:rsid w:val="00B7160B"/>
    <w:rsid w:val="00B7166A"/>
    <w:rsid w:val="00B71840"/>
    <w:rsid w:val="00B71A6B"/>
    <w:rsid w:val="00B71AE5"/>
    <w:rsid w:val="00B71D5C"/>
    <w:rsid w:val="00B72D30"/>
    <w:rsid w:val="00B73D2F"/>
    <w:rsid w:val="00B747B1"/>
    <w:rsid w:val="00B74980"/>
    <w:rsid w:val="00B75740"/>
    <w:rsid w:val="00B759CC"/>
    <w:rsid w:val="00B75E31"/>
    <w:rsid w:val="00B76E6B"/>
    <w:rsid w:val="00B77BA2"/>
    <w:rsid w:val="00B80376"/>
    <w:rsid w:val="00B804D4"/>
    <w:rsid w:val="00B806CE"/>
    <w:rsid w:val="00B808D5"/>
    <w:rsid w:val="00B80D4C"/>
    <w:rsid w:val="00B8198F"/>
    <w:rsid w:val="00B81C4E"/>
    <w:rsid w:val="00B82FC6"/>
    <w:rsid w:val="00B84442"/>
    <w:rsid w:val="00B84873"/>
    <w:rsid w:val="00B84972"/>
    <w:rsid w:val="00B84C0A"/>
    <w:rsid w:val="00B84C3B"/>
    <w:rsid w:val="00B850EB"/>
    <w:rsid w:val="00B85F01"/>
    <w:rsid w:val="00B8603F"/>
    <w:rsid w:val="00B861AB"/>
    <w:rsid w:val="00B86FD8"/>
    <w:rsid w:val="00B87674"/>
    <w:rsid w:val="00B8789F"/>
    <w:rsid w:val="00B909AE"/>
    <w:rsid w:val="00B91A62"/>
    <w:rsid w:val="00B91FFD"/>
    <w:rsid w:val="00B92325"/>
    <w:rsid w:val="00B925E3"/>
    <w:rsid w:val="00B928D3"/>
    <w:rsid w:val="00B931FD"/>
    <w:rsid w:val="00B94910"/>
    <w:rsid w:val="00B9518A"/>
    <w:rsid w:val="00B95F92"/>
    <w:rsid w:val="00B95FAF"/>
    <w:rsid w:val="00B965F1"/>
    <w:rsid w:val="00B96A2C"/>
    <w:rsid w:val="00B97036"/>
    <w:rsid w:val="00B973C4"/>
    <w:rsid w:val="00B976AC"/>
    <w:rsid w:val="00BA0B7C"/>
    <w:rsid w:val="00BA0BBF"/>
    <w:rsid w:val="00BA10B0"/>
    <w:rsid w:val="00BA1156"/>
    <w:rsid w:val="00BA1511"/>
    <w:rsid w:val="00BA15A7"/>
    <w:rsid w:val="00BA2021"/>
    <w:rsid w:val="00BA2D13"/>
    <w:rsid w:val="00BA3D93"/>
    <w:rsid w:val="00BA3F62"/>
    <w:rsid w:val="00BA4142"/>
    <w:rsid w:val="00BA43D0"/>
    <w:rsid w:val="00BA4C7C"/>
    <w:rsid w:val="00BA5225"/>
    <w:rsid w:val="00BA5229"/>
    <w:rsid w:val="00BA5339"/>
    <w:rsid w:val="00BA5BDB"/>
    <w:rsid w:val="00BA6152"/>
    <w:rsid w:val="00BA63DF"/>
    <w:rsid w:val="00BA65FB"/>
    <w:rsid w:val="00BA7570"/>
    <w:rsid w:val="00BA7724"/>
    <w:rsid w:val="00BA7ABC"/>
    <w:rsid w:val="00BA7E8B"/>
    <w:rsid w:val="00BB07CF"/>
    <w:rsid w:val="00BB0BCA"/>
    <w:rsid w:val="00BB0E45"/>
    <w:rsid w:val="00BB1126"/>
    <w:rsid w:val="00BB13DA"/>
    <w:rsid w:val="00BB168A"/>
    <w:rsid w:val="00BB27C0"/>
    <w:rsid w:val="00BB2D34"/>
    <w:rsid w:val="00BB3336"/>
    <w:rsid w:val="00BB3785"/>
    <w:rsid w:val="00BB4168"/>
    <w:rsid w:val="00BB5BB7"/>
    <w:rsid w:val="00BB5BCE"/>
    <w:rsid w:val="00BB6062"/>
    <w:rsid w:val="00BB60FC"/>
    <w:rsid w:val="00BB6160"/>
    <w:rsid w:val="00BB6491"/>
    <w:rsid w:val="00BB6781"/>
    <w:rsid w:val="00BB68A7"/>
    <w:rsid w:val="00BB6A38"/>
    <w:rsid w:val="00BB7312"/>
    <w:rsid w:val="00BB785B"/>
    <w:rsid w:val="00BB78E5"/>
    <w:rsid w:val="00BB7B8C"/>
    <w:rsid w:val="00BB7BA9"/>
    <w:rsid w:val="00BB7C8D"/>
    <w:rsid w:val="00BB7FEA"/>
    <w:rsid w:val="00BC171F"/>
    <w:rsid w:val="00BC1E10"/>
    <w:rsid w:val="00BC24A4"/>
    <w:rsid w:val="00BC2D9D"/>
    <w:rsid w:val="00BC2E90"/>
    <w:rsid w:val="00BC3268"/>
    <w:rsid w:val="00BC3C39"/>
    <w:rsid w:val="00BC43A1"/>
    <w:rsid w:val="00BC4674"/>
    <w:rsid w:val="00BC4753"/>
    <w:rsid w:val="00BC4ED5"/>
    <w:rsid w:val="00BC5500"/>
    <w:rsid w:val="00BC559E"/>
    <w:rsid w:val="00BC5617"/>
    <w:rsid w:val="00BC5A9E"/>
    <w:rsid w:val="00BC6083"/>
    <w:rsid w:val="00BC6947"/>
    <w:rsid w:val="00BC6CC9"/>
    <w:rsid w:val="00BC716F"/>
    <w:rsid w:val="00BC7EF4"/>
    <w:rsid w:val="00BC7FB8"/>
    <w:rsid w:val="00BD01D5"/>
    <w:rsid w:val="00BD033A"/>
    <w:rsid w:val="00BD06A1"/>
    <w:rsid w:val="00BD18A9"/>
    <w:rsid w:val="00BD2799"/>
    <w:rsid w:val="00BD293E"/>
    <w:rsid w:val="00BD3128"/>
    <w:rsid w:val="00BD36AC"/>
    <w:rsid w:val="00BD4DDA"/>
    <w:rsid w:val="00BD52A5"/>
    <w:rsid w:val="00BD5B36"/>
    <w:rsid w:val="00BD61CF"/>
    <w:rsid w:val="00BD641B"/>
    <w:rsid w:val="00BD6D29"/>
    <w:rsid w:val="00BD7635"/>
    <w:rsid w:val="00BD7D1C"/>
    <w:rsid w:val="00BE0619"/>
    <w:rsid w:val="00BE0C9C"/>
    <w:rsid w:val="00BE0CD4"/>
    <w:rsid w:val="00BE12AB"/>
    <w:rsid w:val="00BE1B0F"/>
    <w:rsid w:val="00BE21CB"/>
    <w:rsid w:val="00BE23C0"/>
    <w:rsid w:val="00BE2AA6"/>
    <w:rsid w:val="00BE2D80"/>
    <w:rsid w:val="00BE3171"/>
    <w:rsid w:val="00BE3AAC"/>
    <w:rsid w:val="00BE3E2C"/>
    <w:rsid w:val="00BE495F"/>
    <w:rsid w:val="00BE4AD1"/>
    <w:rsid w:val="00BE4EF7"/>
    <w:rsid w:val="00BE51CB"/>
    <w:rsid w:val="00BE57FA"/>
    <w:rsid w:val="00BE581E"/>
    <w:rsid w:val="00BE5AC4"/>
    <w:rsid w:val="00BE5E9E"/>
    <w:rsid w:val="00BE5F27"/>
    <w:rsid w:val="00BE61D7"/>
    <w:rsid w:val="00BE65B0"/>
    <w:rsid w:val="00BE68DB"/>
    <w:rsid w:val="00BE691B"/>
    <w:rsid w:val="00BE6DE8"/>
    <w:rsid w:val="00BE7A6C"/>
    <w:rsid w:val="00BE7B63"/>
    <w:rsid w:val="00BE7E76"/>
    <w:rsid w:val="00BE7FED"/>
    <w:rsid w:val="00BF06EB"/>
    <w:rsid w:val="00BF1243"/>
    <w:rsid w:val="00BF1505"/>
    <w:rsid w:val="00BF163C"/>
    <w:rsid w:val="00BF1897"/>
    <w:rsid w:val="00BF1973"/>
    <w:rsid w:val="00BF1B69"/>
    <w:rsid w:val="00BF1F98"/>
    <w:rsid w:val="00BF2002"/>
    <w:rsid w:val="00BF24F0"/>
    <w:rsid w:val="00BF2909"/>
    <w:rsid w:val="00BF2DE6"/>
    <w:rsid w:val="00BF32C7"/>
    <w:rsid w:val="00BF3467"/>
    <w:rsid w:val="00BF38D0"/>
    <w:rsid w:val="00BF39C4"/>
    <w:rsid w:val="00BF45FC"/>
    <w:rsid w:val="00BF47BB"/>
    <w:rsid w:val="00BF4926"/>
    <w:rsid w:val="00BF59A4"/>
    <w:rsid w:val="00BF5A1D"/>
    <w:rsid w:val="00BF5DA2"/>
    <w:rsid w:val="00BF5F1C"/>
    <w:rsid w:val="00BF6227"/>
    <w:rsid w:val="00BF65A4"/>
    <w:rsid w:val="00BF68C0"/>
    <w:rsid w:val="00BF6ABE"/>
    <w:rsid w:val="00BF6DDB"/>
    <w:rsid w:val="00BF790A"/>
    <w:rsid w:val="00BF7BCC"/>
    <w:rsid w:val="00C01A7E"/>
    <w:rsid w:val="00C01C0E"/>
    <w:rsid w:val="00C01E47"/>
    <w:rsid w:val="00C01E5F"/>
    <w:rsid w:val="00C01EA8"/>
    <w:rsid w:val="00C02540"/>
    <w:rsid w:val="00C02AE7"/>
    <w:rsid w:val="00C02C91"/>
    <w:rsid w:val="00C02E08"/>
    <w:rsid w:val="00C03489"/>
    <w:rsid w:val="00C035C7"/>
    <w:rsid w:val="00C04F9C"/>
    <w:rsid w:val="00C05135"/>
    <w:rsid w:val="00C05733"/>
    <w:rsid w:val="00C05753"/>
    <w:rsid w:val="00C05F84"/>
    <w:rsid w:val="00C0630F"/>
    <w:rsid w:val="00C065B9"/>
    <w:rsid w:val="00C06B16"/>
    <w:rsid w:val="00C10317"/>
    <w:rsid w:val="00C10989"/>
    <w:rsid w:val="00C10EB2"/>
    <w:rsid w:val="00C114E2"/>
    <w:rsid w:val="00C11549"/>
    <w:rsid w:val="00C11820"/>
    <w:rsid w:val="00C1242C"/>
    <w:rsid w:val="00C12B15"/>
    <w:rsid w:val="00C12B7E"/>
    <w:rsid w:val="00C13299"/>
    <w:rsid w:val="00C13DE8"/>
    <w:rsid w:val="00C13F9A"/>
    <w:rsid w:val="00C14479"/>
    <w:rsid w:val="00C14F63"/>
    <w:rsid w:val="00C15206"/>
    <w:rsid w:val="00C15B21"/>
    <w:rsid w:val="00C15CDB"/>
    <w:rsid w:val="00C15F27"/>
    <w:rsid w:val="00C1667E"/>
    <w:rsid w:val="00C1681E"/>
    <w:rsid w:val="00C16D9A"/>
    <w:rsid w:val="00C16E0D"/>
    <w:rsid w:val="00C16E98"/>
    <w:rsid w:val="00C175AD"/>
    <w:rsid w:val="00C17910"/>
    <w:rsid w:val="00C17A20"/>
    <w:rsid w:val="00C17B3B"/>
    <w:rsid w:val="00C17DB9"/>
    <w:rsid w:val="00C17E60"/>
    <w:rsid w:val="00C20390"/>
    <w:rsid w:val="00C21D36"/>
    <w:rsid w:val="00C225B5"/>
    <w:rsid w:val="00C22CB1"/>
    <w:rsid w:val="00C23E88"/>
    <w:rsid w:val="00C23EA1"/>
    <w:rsid w:val="00C23F0C"/>
    <w:rsid w:val="00C241BA"/>
    <w:rsid w:val="00C24408"/>
    <w:rsid w:val="00C24761"/>
    <w:rsid w:val="00C249A7"/>
    <w:rsid w:val="00C24E37"/>
    <w:rsid w:val="00C25948"/>
    <w:rsid w:val="00C26065"/>
    <w:rsid w:val="00C260D0"/>
    <w:rsid w:val="00C26952"/>
    <w:rsid w:val="00C26A82"/>
    <w:rsid w:val="00C26B52"/>
    <w:rsid w:val="00C272B8"/>
    <w:rsid w:val="00C274C9"/>
    <w:rsid w:val="00C27600"/>
    <w:rsid w:val="00C279E6"/>
    <w:rsid w:val="00C27D25"/>
    <w:rsid w:val="00C27E1B"/>
    <w:rsid w:val="00C304AE"/>
    <w:rsid w:val="00C30842"/>
    <w:rsid w:val="00C317A0"/>
    <w:rsid w:val="00C31EEF"/>
    <w:rsid w:val="00C32037"/>
    <w:rsid w:val="00C32084"/>
    <w:rsid w:val="00C32C12"/>
    <w:rsid w:val="00C32D27"/>
    <w:rsid w:val="00C3355B"/>
    <w:rsid w:val="00C33BD4"/>
    <w:rsid w:val="00C33FE2"/>
    <w:rsid w:val="00C34027"/>
    <w:rsid w:val="00C34DC8"/>
    <w:rsid w:val="00C34FAD"/>
    <w:rsid w:val="00C3561B"/>
    <w:rsid w:val="00C3571E"/>
    <w:rsid w:val="00C3587E"/>
    <w:rsid w:val="00C35A4E"/>
    <w:rsid w:val="00C35ECC"/>
    <w:rsid w:val="00C36648"/>
    <w:rsid w:val="00C36ADB"/>
    <w:rsid w:val="00C36CF6"/>
    <w:rsid w:val="00C36DC4"/>
    <w:rsid w:val="00C370F2"/>
    <w:rsid w:val="00C37B5D"/>
    <w:rsid w:val="00C37EAD"/>
    <w:rsid w:val="00C40B7B"/>
    <w:rsid w:val="00C415E0"/>
    <w:rsid w:val="00C417E6"/>
    <w:rsid w:val="00C41CF7"/>
    <w:rsid w:val="00C42F5C"/>
    <w:rsid w:val="00C43067"/>
    <w:rsid w:val="00C430C8"/>
    <w:rsid w:val="00C44D50"/>
    <w:rsid w:val="00C44D62"/>
    <w:rsid w:val="00C44DB6"/>
    <w:rsid w:val="00C44EB8"/>
    <w:rsid w:val="00C44EBC"/>
    <w:rsid w:val="00C452AB"/>
    <w:rsid w:val="00C45935"/>
    <w:rsid w:val="00C45A62"/>
    <w:rsid w:val="00C45B26"/>
    <w:rsid w:val="00C45B5B"/>
    <w:rsid w:val="00C4601C"/>
    <w:rsid w:val="00C46764"/>
    <w:rsid w:val="00C46859"/>
    <w:rsid w:val="00C46FD6"/>
    <w:rsid w:val="00C47A72"/>
    <w:rsid w:val="00C51333"/>
    <w:rsid w:val="00C513CE"/>
    <w:rsid w:val="00C5180E"/>
    <w:rsid w:val="00C51BB0"/>
    <w:rsid w:val="00C51CFD"/>
    <w:rsid w:val="00C51E26"/>
    <w:rsid w:val="00C52A11"/>
    <w:rsid w:val="00C52B87"/>
    <w:rsid w:val="00C54795"/>
    <w:rsid w:val="00C548AE"/>
    <w:rsid w:val="00C54D60"/>
    <w:rsid w:val="00C5560C"/>
    <w:rsid w:val="00C56807"/>
    <w:rsid w:val="00C56B30"/>
    <w:rsid w:val="00C56B8B"/>
    <w:rsid w:val="00C6011C"/>
    <w:rsid w:val="00C60138"/>
    <w:rsid w:val="00C60CF2"/>
    <w:rsid w:val="00C61D87"/>
    <w:rsid w:val="00C63147"/>
    <w:rsid w:val="00C634FF"/>
    <w:rsid w:val="00C63821"/>
    <w:rsid w:val="00C6395A"/>
    <w:rsid w:val="00C63AA8"/>
    <w:rsid w:val="00C64707"/>
    <w:rsid w:val="00C6474A"/>
    <w:rsid w:val="00C64A37"/>
    <w:rsid w:val="00C65313"/>
    <w:rsid w:val="00C6560D"/>
    <w:rsid w:val="00C6596E"/>
    <w:rsid w:val="00C65C0C"/>
    <w:rsid w:val="00C65C34"/>
    <w:rsid w:val="00C65D89"/>
    <w:rsid w:val="00C66471"/>
    <w:rsid w:val="00C664BF"/>
    <w:rsid w:val="00C67009"/>
    <w:rsid w:val="00C67628"/>
    <w:rsid w:val="00C67840"/>
    <w:rsid w:val="00C70E9B"/>
    <w:rsid w:val="00C712CA"/>
    <w:rsid w:val="00C71334"/>
    <w:rsid w:val="00C716CD"/>
    <w:rsid w:val="00C71CFD"/>
    <w:rsid w:val="00C71E6C"/>
    <w:rsid w:val="00C723FA"/>
    <w:rsid w:val="00C7281C"/>
    <w:rsid w:val="00C731BC"/>
    <w:rsid w:val="00C738F3"/>
    <w:rsid w:val="00C7396E"/>
    <w:rsid w:val="00C73C90"/>
    <w:rsid w:val="00C73E60"/>
    <w:rsid w:val="00C742CA"/>
    <w:rsid w:val="00C7435D"/>
    <w:rsid w:val="00C746D4"/>
    <w:rsid w:val="00C74943"/>
    <w:rsid w:val="00C74E04"/>
    <w:rsid w:val="00C75BEE"/>
    <w:rsid w:val="00C75CB4"/>
    <w:rsid w:val="00C76C5D"/>
    <w:rsid w:val="00C773CD"/>
    <w:rsid w:val="00C779A3"/>
    <w:rsid w:val="00C77A51"/>
    <w:rsid w:val="00C77B3B"/>
    <w:rsid w:val="00C77D99"/>
    <w:rsid w:val="00C77E2D"/>
    <w:rsid w:val="00C77FB8"/>
    <w:rsid w:val="00C808CE"/>
    <w:rsid w:val="00C819C7"/>
    <w:rsid w:val="00C81F15"/>
    <w:rsid w:val="00C82266"/>
    <w:rsid w:val="00C829D1"/>
    <w:rsid w:val="00C82D21"/>
    <w:rsid w:val="00C83346"/>
    <w:rsid w:val="00C839B9"/>
    <w:rsid w:val="00C843D0"/>
    <w:rsid w:val="00C84CA1"/>
    <w:rsid w:val="00C84F47"/>
    <w:rsid w:val="00C86489"/>
    <w:rsid w:val="00C86BA2"/>
    <w:rsid w:val="00C86DE2"/>
    <w:rsid w:val="00C87BEB"/>
    <w:rsid w:val="00C87C5F"/>
    <w:rsid w:val="00C87F36"/>
    <w:rsid w:val="00C902DE"/>
    <w:rsid w:val="00C90D0D"/>
    <w:rsid w:val="00C914C7"/>
    <w:rsid w:val="00C91748"/>
    <w:rsid w:val="00C9236D"/>
    <w:rsid w:val="00C924F5"/>
    <w:rsid w:val="00C9268B"/>
    <w:rsid w:val="00C92887"/>
    <w:rsid w:val="00C9292C"/>
    <w:rsid w:val="00C92B18"/>
    <w:rsid w:val="00C9353C"/>
    <w:rsid w:val="00C93999"/>
    <w:rsid w:val="00C94342"/>
    <w:rsid w:val="00C943BB"/>
    <w:rsid w:val="00C9452E"/>
    <w:rsid w:val="00C94DC9"/>
    <w:rsid w:val="00C9569F"/>
    <w:rsid w:val="00C9663E"/>
    <w:rsid w:val="00C966EF"/>
    <w:rsid w:val="00C967D2"/>
    <w:rsid w:val="00C969D8"/>
    <w:rsid w:val="00C96E4D"/>
    <w:rsid w:val="00C974AA"/>
    <w:rsid w:val="00C976FD"/>
    <w:rsid w:val="00C97B8E"/>
    <w:rsid w:val="00C97CD3"/>
    <w:rsid w:val="00C97E08"/>
    <w:rsid w:val="00CA0A64"/>
    <w:rsid w:val="00CA0D44"/>
    <w:rsid w:val="00CA176A"/>
    <w:rsid w:val="00CA24A5"/>
    <w:rsid w:val="00CA25CE"/>
    <w:rsid w:val="00CA3EB9"/>
    <w:rsid w:val="00CA43BA"/>
    <w:rsid w:val="00CA4A72"/>
    <w:rsid w:val="00CA5613"/>
    <w:rsid w:val="00CA59C4"/>
    <w:rsid w:val="00CA616A"/>
    <w:rsid w:val="00CA6772"/>
    <w:rsid w:val="00CB0021"/>
    <w:rsid w:val="00CB077B"/>
    <w:rsid w:val="00CB11B5"/>
    <w:rsid w:val="00CB14FF"/>
    <w:rsid w:val="00CB1DCA"/>
    <w:rsid w:val="00CB212D"/>
    <w:rsid w:val="00CB24D2"/>
    <w:rsid w:val="00CB2559"/>
    <w:rsid w:val="00CB26D9"/>
    <w:rsid w:val="00CB2706"/>
    <w:rsid w:val="00CB3760"/>
    <w:rsid w:val="00CB56E5"/>
    <w:rsid w:val="00CB6005"/>
    <w:rsid w:val="00CB64D7"/>
    <w:rsid w:val="00CB6576"/>
    <w:rsid w:val="00CB6605"/>
    <w:rsid w:val="00CB6612"/>
    <w:rsid w:val="00CB6BC3"/>
    <w:rsid w:val="00CB6CFE"/>
    <w:rsid w:val="00CB7113"/>
    <w:rsid w:val="00CB7CA2"/>
    <w:rsid w:val="00CB7DE2"/>
    <w:rsid w:val="00CB7F0D"/>
    <w:rsid w:val="00CC00FD"/>
    <w:rsid w:val="00CC1624"/>
    <w:rsid w:val="00CC1864"/>
    <w:rsid w:val="00CC274E"/>
    <w:rsid w:val="00CC33A2"/>
    <w:rsid w:val="00CC3D33"/>
    <w:rsid w:val="00CC42C2"/>
    <w:rsid w:val="00CC61EB"/>
    <w:rsid w:val="00CC67AD"/>
    <w:rsid w:val="00CC6D5C"/>
    <w:rsid w:val="00CC6D85"/>
    <w:rsid w:val="00CC726F"/>
    <w:rsid w:val="00CC7851"/>
    <w:rsid w:val="00CC7A1E"/>
    <w:rsid w:val="00CC7E99"/>
    <w:rsid w:val="00CD0A8E"/>
    <w:rsid w:val="00CD0FD0"/>
    <w:rsid w:val="00CD164A"/>
    <w:rsid w:val="00CD1695"/>
    <w:rsid w:val="00CD18D2"/>
    <w:rsid w:val="00CD207C"/>
    <w:rsid w:val="00CD208E"/>
    <w:rsid w:val="00CD22EC"/>
    <w:rsid w:val="00CD266B"/>
    <w:rsid w:val="00CD279D"/>
    <w:rsid w:val="00CD30D4"/>
    <w:rsid w:val="00CD3A69"/>
    <w:rsid w:val="00CD3D14"/>
    <w:rsid w:val="00CD4538"/>
    <w:rsid w:val="00CD4A4D"/>
    <w:rsid w:val="00CD4B39"/>
    <w:rsid w:val="00CD4D2D"/>
    <w:rsid w:val="00CD59E3"/>
    <w:rsid w:val="00CD5CCA"/>
    <w:rsid w:val="00CD5EFD"/>
    <w:rsid w:val="00CD60FC"/>
    <w:rsid w:val="00CD62E9"/>
    <w:rsid w:val="00CD6E2A"/>
    <w:rsid w:val="00CD7103"/>
    <w:rsid w:val="00CD73E3"/>
    <w:rsid w:val="00CE0374"/>
    <w:rsid w:val="00CE0A9E"/>
    <w:rsid w:val="00CE0D92"/>
    <w:rsid w:val="00CE1058"/>
    <w:rsid w:val="00CE2225"/>
    <w:rsid w:val="00CE225A"/>
    <w:rsid w:val="00CE2BD4"/>
    <w:rsid w:val="00CE2D72"/>
    <w:rsid w:val="00CE3193"/>
    <w:rsid w:val="00CE31C7"/>
    <w:rsid w:val="00CE329D"/>
    <w:rsid w:val="00CE33C3"/>
    <w:rsid w:val="00CE3859"/>
    <w:rsid w:val="00CE3A82"/>
    <w:rsid w:val="00CE43B9"/>
    <w:rsid w:val="00CE48DE"/>
    <w:rsid w:val="00CE4938"/>
    <w:rsid w:val="00CE4C26"/>
    <w:rsid w:val="00CE5710"/>
    <w:rsid w:val="00CE5D11"/>
    <w:rsid w:val="00CE5D5D"/>
    <w:rsid w:val="00CE6490"/>
    <w:rsid w:val="00CE6665"/>
    <w:rsid w:val="00CE68B8"/>
    <w:rsid w:val="00CF051B"/>
    <w:rsid w:val="00CF08B2"/>
    <w:rsid w:val="00CF08C2"/>
    <w:rsid w:val="00CF1A77"/>
    <w:rsid w:val="00CF1C49"/>
    <w:rsid w:val="00CF1EB0"/>
    <w:rsid w:val="00CF2215"/>
    <w:rsid w:val="00CF225F"/>
    <w:rsid w:val="00CF2577"/>
    <w:rsid w:val="00CF2660"/>
    <w:rsid w:val="00CF2D32"/>
    <w:rsid w:val="00CF2EFB"/>
    <w:rsid w:val="00CF2FC6"/>
    <w:rsid w:val="00CF392D"/>
    <w:rsid w:val="00CF4D7E"/>
    <w:rsid w:val="00CF4E5C"/>
    <w:rsid w:val="00CF53A8"/>
    <w:rsid w:val="00CF5B2D"/>
    <w:rsid w:val="00CF66BD"/>
    <w:rsid w:val="00CF67CD"/>
    <w:rsid w:val="00CF67F4"/>
    <w:rsid w:val="00CF6C73"/>
    <w:rsid w:val="00CF6EC5"/>
    <w:rsid w:val="00CF720B"/>
    <w:rsid w:val="00CF73C7"/>
    <w:rsid w:val="00CF75D7"/>
    <w:rsid w:val="00CF78F3"/>
    <w:rsid w:val="00CF7A34"/>
    <w:rsid w:val="00CF7BE5"/>
    <w:rsid w:val="00CF7D64"/>
    <w:rsid w:val="00CF7DC3"/>
    <w:rsid w:val="00D0008E"/>
    <w:rsid w:val="00D00611"/>
    <w:rsid w:val="00D00EEB"/>
    <w:rsid w:val="00D0168B"/>
    <w:rsid w:val="00D01F95"/>
    <w:rsid w:val="00D02792"/>
    <w:rsid w:val="00D041E5"/>
    <w:rsid w:val="00D049A7"/>
    <w:rsid w:val="00D05485"/>
    <w:rsid w:val="00D05617"/>
    <w:rsid w:val="00D0608F"/>
    <w:rsid w:val="00D070E3"/>
    <w:rsid w:val="00D07108"/>
    <w:rsid w:val="00D107EB"/>
    <w:rsid w:val="00D10BF1"/>
    <w:rsid w:val="00D1166E"/>
    <w:rsid w:val="00D11700"/>
    <w:rsid w:val="00D11C29"/>
    <w:rsid w:val="00D12357"/>
    <w:rsid w:val="00D137EA"/>
    <w:rsid w:val="00D138E1"/>
    <w:rsid w:val="00D13C2B"/>
    <w:rsid w:val="00D13C83"/>
    <w:rsid w:val="00D141F0"/>
    <w:rsid w:val="00D1537C"/>
    <w:rsid w:val="00D16702"/>
    <w:rsid w:val="00D16D72"/>
    <w:rsid w:val="00D16E8A"/>
    <w:rsid w:val="00D21F4D"/>
    <w:rsid w:val="00D22290"/>
    <w:rsid w:val="00D227D6"/>
    <w:rsid w:val="00D228CA"/>
    <w:rsid w:val="00D23244"/>
    <w:rsid w:val="00D232D3"/>
    <w:rsid w:val="00D24338"/>
    <w:rsid w:val="00D24CA1"/>
    <w:rsid w:val="00D256CD"/>
    <w:rsid w:val="00D2575A"/>
    <w:rsid w:val="00D257BB"/>
    <w:rsid w:val="00D258DF"/>
    <w:rsid w:val="00D25A61"/>
    <w:rsid w:val="00D25D7B"/>
    <w:rsid w:val="00D26175"/>
    <w:rsid w:val="00D26661"/>
    <w:rsid w:val="00D26C8E"/>
    <w:rsid w:val="00D2749E"/>
    <w:rsid w:val="00D274C6"/>
    <w:rsid w:val="00D27935"/>
    <w:rsid w:val="00D27D2B"/>
    <w:rsid w:val="00D30126"/>
    <w:rsid w:val="00D31436"/>
    <w:rsid w:val="00D31BED"/>
    <w:rsid w:val="00D321C4"/>
    <w:rsid w:val="00D3226C"/>
    <w:rsid w:val="00D324A8"/>
    <w:rsid w:val="00D325BA"/>
    <w:rsid w:val="00D33495"/>
    <w:rsid w:val="00D335E5"/>
    <w:rsid w:val="00D33F51"/>
    <w:rsid w:val="00D33FA8"/>
    <w:rsid w:val="00D33FBB"/>
    <w:rsid w:val="00D3466C"/>
    <w:rsid w:val="00D34717"/>
    <w:rsid w:val="00D36619"/>
    <w:rsid w:val="00D3700F"/>
    <w:rsid w:val="00D37697"/>
    <w:rsid w:val="00D40E3C"/>
    <w:rsid w:val="00D41040"/>
    <w:rsid w:val="00D41480"/>
    <w:rsid w:val="00D415E1"/>
    <w:rsid w:val="00D41846"/>
    <w:rsid w:val="00D4214D"/>
    <w:rsid w:val="00D42C0D"/>
    <w:rsid w:val="00D430F1"/>
    <w:rsid w:val="00D44182"/>
    <w:rsid w:val="00D448AF"/>
    <w:rsid w:val="00D44C2F"/>
    <w:rsid w:val="00D45376"/>
    <w:rsid w:val="00D4538F"/>
    <w:rsid w:val="00D455FA"/>
    <w:rsid w:val="00D45BE5"/>
    <w:rsid w:val="00D46653"/>
    <w:rsid w:val="00D46FB6"/>
    <w:rsid w:val="00D47461"/>
    <w:rsid w:val="00D47DD6"/>
    <w:rsid w:val="00D50574"/>
    <w:rsid w:val="00D506D2"/>
    <w:rsid w:val="00D507F8"/>
    <w:rsid w:val="00D50DF3"/>
    <w:rsid w:val="00D510E8"/>
    <w:rsid w:val="00D51A10"/>
    <w:rsid w:val="00D51CCE"/>
    <w:rsid w:val="00D529BC"/>
    <w:rsid w:val="00D53088"/>
    <w:rsid w:val="00D53112"/>
    <w:rsid w:val="00D53390"/>
    <w:rsid w:val="00D53674"/>
    <w:rsid w:val="00D54329"/>
    <w:rsid w:val="00D54B6F"/>
    <w:rsid w:val="00D54F04"/>
    <w:rsid w:val="00D55145"/>
    <w:rsid w:val="00D55247"/>
    <w:rsid w:val="00D562AB"/>
    <w:rsid w:val="00D57048"/>
    <w:rsid w:val="00D57435"/>
    <w:rsid w:val="00D5774D"/>
    <w:rsid w:val="00D57ED8"/>
    <w:rsid w:val="00D57F7D"/>
    <w:rsid w:val="00D603C2"/>
    <w:rsid w:val="00D60BF1"/>
    <w:rsid w:val="00D60CA1"/>
    <w:rsid w:val="00D628A5"/>
    <w:rsid w:val="00D628B7"/>
    <w:rsid w:val="00D629A8"/>
    <w:rsid w:val="00D633E7"/>
    <w:rsid w:val="00D64496"/>
    <w:rsid w:val="00D652E6"/>
    <w:rsid w:val="00D6572C"/>
    <w:rsid w:val="00D65DDC"/>
    <w:rsid w:val="00D66093"/>
    <w:rsid w:val="00D6727B"/>
    <w:rsid w:val="00D672C1"/>
    <w:rsid w:val="00D70D75"/>
    <w:rsid w:val="00D7101F"/>
    <w:rsid w:val="00D7209C"/>
    <w:rsid w:val="00D73119"/>
    <w:rsid w:val="00D73CB0"/>
    <w:rsid w:val="00D73CBD"/>
    <w:rsid w:val="00D74E6F"/>
    <w:rsid w:val="00D75220"/>
    <w:rsid w:val="00D75388"/>
    <w:rsid w:val="00D75737"/>
    <w:rsid w:val="00D76991"/>
    <w:rsid w:val="00D76FC1"/>
    <w:rsid w:val="00D77413"/>
    <w:rsid w:val="00D7753D"/>
    <w:rsid w:val="00D77665"/>
    <w:rsid w:val="00D80385"/>
    <w:rsid w:val="00D80642"/>
    <w:rsid w:val="00D8110A"/>
    <w:rsid w:val="00D81320"/>
    <w:rsid w:val="00D81540"/>
    <w:rsid w:val="00D81C25"/>
    <w:rsid w:val="00D82102"/>
    <w:rsid w:val="00D82766"/>
    <w:rsid w:val="00D82ABB"/>
    <w:rsid w:val="00D835E0"/>
    <w:rsid w:val="00D84132"/>
    <w:rsid w:val="00D846E0"/>
    <w:rsid w:val="00D84B39"/>
    <w:rsid w:val="00D8537E"/>
    <w:rsid w:val="00D85439"/>
    <w:rsid w:val="00D854AF"/>
    <w:rsid w:val="00D85669"/>
    <w:rsid w:val="00D85BC9"/>
    <w:rsid w:val="00D85CE0"/>
    <w:rsid w:val="00D85DD4"/>
    <w:rsid w:val="00D86513"/>
    <w:rsid w:val="00D86551"/>
    <w:rsid w:val="00D86FDB"/>
    <w:rsid w:val="00D875F9"/>
    <w:rsid w:val="00D87612"/>
    <w:rsid w:val="00D879D4"/>
    <w:rsid w:val="00D87AD6"/>
    <w:rsid w:val="00D90DC1"/>
    <w:rsid w:val="00D90FD7"/>
    <w:rsid w:val="00D913A0"/>
    <w:rsid w:val="00D913F9"/>
    <w:rsid w:val="00D91BA5"/>
    <w:rsid w:val="00D92184"/>
    <w:rsid w:val="00D925CC"/>
    <w:rsid w:val="00D92677"/>
    <w:rsid w:val="00D929FF"/>
    <w:rsid w:val="00D92CBA"/>
    <w:rsid w:val="00D93890"/>
    <w:rsid w:val="00D93B38"/>
    <w:rsid w:val="00D93B9A"/>
    <w:rsid w:val="00D9432E"/>
    <w:rsid w:val="00D948E7"/>
    <w:rsid w:val="00D9495C"/>
    <w:rsid w:val="00D94DC1"/>
    <w:rsid w:val="00D95243"/>
    <w:rsid w:val="00D95903"/>
    <w:rsid w:val="00D95B46"/>
    <w:rsid w:val="00D961B3"/>
    <w:rsid w:val="00D9645E"/>
    <w:rsid w:val="00D9678D"/>
    <w:rsid w:val="00D969C4"/>
    <w:rsid w:val="00D96CC8"/>
    <w:rsid w:val="00D97398"/>
    <w:rsid w:val="00DA036C"/>
    <w:rsid w:val="00DA0736"/>
    <w:rsid w:val="00DA0EFD"/>
    <w:rsid w:val="00DA1590"/>
    <w:rsid w:val="00DA15A6"/>
    <w:rsid w:val="00DA1765"/>
    <w:rsid w:val="00DA1EB6"/>
    <w:rsid w:val="00DA244E"/>
    <w:rsid w:val="00DA31F5"/>
    <w:rsid w:val="00DA32CA"/>
    <w:rsid w:val="00DA3677"/>
    <w:rsid w:val="00DA4059"/>
    <w:rsid w:val="00DA49F7"/>
    <w:rsid w:val="00DA4BD8"/>
    <w:rsid w:val="00DA5274"/>
    <w:rsid w:val="00DA55A0"/>
    <w:rsid w:val="00DA5790"/>
    <w:rsid w:val="00DA6147"/>
    <w:rsid w:val="00DA6988"/>
    <w:rsid w:val="00DA6FF3"/>
    <w:rsid w:val="00DB0974"/>
    <w:rsid w:val="00DB0EB5"/>
    <w:rsid w:val="00DB14C4"/>
    <w:rsid w:val="00DB17B7"/>
    <w:rsid w:val="00DB1ABB"/>
    <w:rsid w:val="00DB2CA8"/>
    <w:rsid w:val="00DB2F5E"/>
    <w:rsid w:val="00DB302B"/>
    <w:rsid w:val="00DB3333"/>
    <w:rsid w:val="00DB427D"/>
    <w:rsid w:val="00DB4345"/>
    <w:rsid w:val="00DB4AC1"/>
    <w:rsid w:val="00DB4C8C"/>
    <w:rsid w:val="00DB4E69"/>
    <w:rsid w:val="00DB527D"/>
    <w:rsid w:val="00DB56D5"/>
    <w:rsid w:val="00DB57E4"/>
    <w:rsid w:val="00DB5DF7"/>
    <w:rsid w:val="00DB5FB3"/>
    <w:rsid w:val="00DB60B9"/>
    <w:rsid w:val="00DB6E71"/>
    <w:rsid w:val="00DB6F81"/>
    <w:rsid w:val="00DB73E8"/>
    <w:rsid w:val="00DB7CA1"/>
    <w:rsid w:val="00DC045A"/>
    <w:rsid w:val="00DC0FB3"/>
    <w:rsid w:val="00DC102D"/>
    <w:rsid w:val="00DC13F4"/>
    <w:rsid w:val="00DC15E4"/>
    <w:rsid w:val="00DC1983"/>
    <w:rsid w:val="00DC19A9"/>
    <w:rsid w:val="00DC1A5C"/>
    <w:rsid w:val="00DC2884"/>
    <w:rsid w:val="00DC28B3"/>
    <w:rsid w:val="00DC3411"/>
    <w:rsid w:val="00DC37C8"/>
    <w:rsid w:val="00DC3903"/>
    <w:rsid w:val="00DC390F"/>
    <w:rsid w:val="00DC3F13"/>
    <w:rsid w:val="00DC462E"/>
    <w:rsid w:val="00DC4B2A"/>
    <w:rsid w:val="00DC4D2E"/>
    <w:rsid w:val="00DC5887"/>
    <w:rsid w:val="00DC5B58"/>
    <w:rsid w:val="00DC5CD8"/>
    <w:rsid w:val="00DC6D1E"/>
    <w:rsid w:val="00DC7778"/>
    <w:rsid w:val="00DC7B28"/>
    <w:rsid w:val="00DC7BEB"/>
    <w:rsid w:val="00DC7BF7"/>
    <w:rsid w:val="00DD127D"/>
    <w:rsid w:val="00DD15F5"/>
    <w:rsid w:val="00DD214C"/>
    <w:rsid w:val="00DD2240"/>
    <w:rsid w:val="00DD247D"/>
    <w:rsid w:val="00DD2618"/>
    <w:rsid w:val="00DD273F"/>
    <w:rsid w:val="00DD277C"/>
    <w:rsid w:val="00DD4BC9"/>
    <w:rsid w:val="00DD4C5E"/>
    <w:rsid w:val="00DD4E46"/>
    <w:rsid w:val="00DD5A97"/>
    <w:rsid w:val="00DD5AAE"/>
    <w:rsid w:val="00DD5B50"/>
    <w:rsid w:val="00DD5BC8"/>
    <w:rsid w:val="00DD5F4C"/>
    <w:rsid w:val="00DD5FDD"/>
    <w:rsid w:val="00DD6245"/>
    <w:rsid w:val="00DD6423"/>
    <w:rsid w:val="00DD70F6"/>
    <w:rsid w:val="00DD7696"/>
    <w:rsid w:val="00DE0058"/>
    <w:rsid w:val="00DE06A4"/>
    <w:rsid w:val="00DE0C64"/>
    <w:rsid w:val="00DE1259"/>
    <w:rsid w:val="00DE1EEB"/>
    <w:rsid w:val="00DE2924"/>
    <w:rsid w:val="00DE2DC8"/>
    <w:rsid w:val="00DE35ED"/>
    <w:rsid w:val="00DE35F4"/>
    <w:rsid w:val="00DE3AC2"/>
    <w:rsid w:val="00DE3D2B"/>
    <w:rsid w:val="00DE45A5"/>
    <w:rsid w:val="00DE4951"/>
    <w:rsid w:val="00DE4E70"/>
    <w:rsid w:val="00DE5000"/>
    <w:rsid w:val="00DE53CA"/>
    <w:rsid w:val="00DE53CD"/>
    <w:rsid w:val="00DE561E"/>
    <w:rsid w:val="00DE5630"/>
    <w:rsid w:val="00DE57DF"/>
    <w:rsid w:val="00DE5B79"/>
    <w:rsid w:val="00DE663A"/>
    <w:rsid w:val="00DE72E4"/>
    <w:rsid w:val="00DF008A"/>
    <w:rsid w:val="00DF02AE"/>
    <w:rsid w:val="00DF08E2"/>
    <w:rsid w:val="00DF0C55"/>
    <w:rsid w:val="00DF1191"/>
    <w:rsid w:val="00DF1544"/>
    <w:rsid w:val="00DF1EE4"/>
    <w:rsid w:val="00DF2F70"/>
    <w:rsid w:val="00DF3059"/>
    <w:rsid w:val="00DF3403"/>
    <w:rsid w:val="00DF37B7"/>
    <w:rsid w:val="00DF3EFF"/>
    <w:rsid w:val="00DF436A"/>
    <w:rsid w:val="00DF44FC"/>
    <w:rsid w:val="00DF4EF0"/>
    <w:rsid w:val="00DF5489"/>
    <w:rsid w:val="00DF58DE"/>
    <w:rsid w:val="00DF6325"/>
    <w:rsid w:val="00DF6504"/>
    <w:rsid w:val="00DF68D1"/>
    <w:rsid w:val="00DF741F"/>
    <w:rsid w:val="00DF7C33"/>
    <w:rsid w:val="00E00450"/>
    <w:rsid w:val="00E0136C"/>
    <w:rsid w:val="00E01970"/>
    <w:rsid w:val="00E01E52"/>
    <w:rsid w:val="00E02ADF"/>
    <w:rsid w:val="00E0300F"/>
    <w:rsid w:val="00E03E26"/>
    <w:rsid w:val="00E03FD7"/>
    <w:rsid w:val="00E04691"/>
    <w:rsid w:val="00E046E3"/>
    <w:rsid w:val="00E04FE3"/>
    <w:rsid w:val="00E053C5"/>
    <w:rsid w:val="00E0560B"/>
    <w:rsid w:val="00E0603B"/>
    <w:rsid w:val="00E06625"/>
    <w:rsid w:val="00E06797"/>
    <w:rsid w:val="00E06A3D"/>
    <w:rsid w:val="00E06E52"/>
    <w:rsid w:val="00E07216"/>
    <w:rsid w:val="00E07532"/>
    <w:rsid w:val="00E07C09"/>
    <w:rsid w:val="00E10CDD"/>
    <w:rsid w:val="00E112AC"/>
    <w:rsid w:val="00E12134"/>
    <w:rsid w:val="00E12282"/>
    <w:rsid w:val="00E13318"/>
    <w:rsid w:val="00E13543"/>
    <w:rsid w:val="00E1467D"/>
    <w:rsid w:val="00E151D1"/>
    <w:rsid w:val="00E1563F"/>
    <w:rsid w:val="00E172A7"/>
    <w:rsid w:val="00E17395"/>
    <w:rsid w:val="00E205FD"/>
    <w:rsid w:val="00E206B3"/>
    <w:rsid w:val="00E21431"/>
    <w:rsid w:val="00E2180F"/>
    <w:rsid w:val="00E218B3"/>
    <w:rsid w:val="00E222C1"/>
    <w:rsid w:val="00E223F6"/>
    <w:rsid w:val="00E22465"/>
    <w:rsid w:val="00E224F3"/>
    <w:rsid w:val="00E2257D"/>
    <w:rsid w:val="00E22E15"/>
    <w:rsid w:val="00E22E87"/>
    <w:rsid w:val="00E231B3"/>
    <w:rsid w:val="00E2321A"/>
    <w:rsid w:val="00E23322"/>
    <w:rsid w:val="00E235EC"/>
    <w:rsid w:val="00E23866"/>
    <w:rsid w:val="00E239EE"/>
    <w:rsid w:val="00E23D57"/>
    <w:rsid w:val="00E24193"/>
    <w:rsid w:val="00E24220"/>
    <w:rsid w:val="00E24278"/>
    <w:rsid w:val="00E24851"/>
    <w:rsid w:val="00E24ADA"/>
    <w:rsid w:val="00E25EF3"/>
    <w:rsid w:val="00E25FE5"/>
    <w:rsid w:val="00E26177"/>
    <w:rsid w:val="00E2671C"/>
    <w:rsid w:val="00E27DFD"/>
    <w:rsid w:val="00E27ED3"/>
    <w:rsid w:val="00E30109"/>
    <w:rsid w:val="00E3023A"/>
    <w:rsid w:val="00E304B2"/>
    <w:rsid w:val="00E30875"/>
    <w:rsid w:val="00E31957"/>
    <w:rsid w:val="00E319C4"/>
    <w:rsid w:val="00E31DC7"/>
    <w:rsid w:val="00E327A3"/>
    <w:rsid w:val="00E3299C"/>
    <w:rsid w:val="00E32B66"/>
    <w:rsid w:val="00E32F59"/>
    <w:rsid w:val="00E3302E"/>
    <w:rsid w:val="00E33486"/>
    <w:rsid w:val="00E33BDA"/>
    <w:rsid w:val="00E33E89"/>
    <w:rsid w:val="00E34398"/>
    <w:rsid w:val="00E34B0F"/>
    <w:rsid w:val="00E34D48"/>
    <w:rsid w:val="00E34F68"/>
    <w:rsid w:val="00E34FDD"/>
    <w:rsid w:val="00E35027"/>
    <w:rsid w:val="00E352B2"/>
    <w:rsid w:val="00E3547B"/>
    <w:rsid w:val="00E35A8D"/>
    <w:rsid w:val="00E35B9D"/>
    <w:rsid w:val="00E35CE3"/>
    <w:rsid w:val="00E35E2E"/>
    <w:rsid w:val="00E35F0F"/>
    <w:rsid w:val="00E35FEF"/>
    <w:rsid w:val="00E36186"/>
    <w:rsid w:val="00E370CC"/>
    <w:rsid w:val="00E37AF0"/>
    <w:rsid w:val="00E40001"/>
    <w:rsid w:val="00E40861"/>
    <w:rsid w:val="00E414E5"/>
    <w:rsid w:val="00E41BAE"/>
    <w:rsid w:val="00E42FD6"/>
    <w:rsid w:val="00E431B2"/>
    <w:rsid w:val="00E43309"/>
    <w:rsid w:val="00E4347E"/>
    <w:rsid w:val="00E439FB"/>
    <w:rsid w:val="00E43CBB"/>
    <w:rsid w:val="00E441AB"/>
    <w:rsid w:val="00E443B7"/>
    <w:rsid w:val="00E4488C"/>
    <w:rsid w:val="00E44BBC"/>
    <w:rsid w:val="00E44FF9"/>
    <w:rsid w:val="00E452FD"/>
    <w:rsid w:val="00E457C6"/>
    <w:rsid w:val="00E45B66"/>
    <w:rsid w:val="00E461B8"/>
    <w:rsid w:val="00E46601"/>
    <w:rsid w:val="00E46841"/>
    <w:rsid w:val="00E46D80"/>
    <w:rsid w:val="00E46FBF"/>
    <w:rsid w:val="00E47522"/>
    <w:rsid w:val="00E4766A"/>
    <w:rsid w:val="00E50566"/>
    <w:rsid w:val="00E51F01"/>
    <w:rsid w:val="00E52099"/>
    <w:rsid w:val="00E52137"/>
    <w:rsid w:val="00E523FF"/>
    <w:rsid w:val="00E525B0"/>
    <w:rsid w:val="00E5291F"/>
    <w:rsid w:val="00E52A33"/>
    <w:rsid w:val="00E530FD"/>
    <w:rsid w:val="00E533BA"/>
    <w:rsid w:val="00E53531"/>
    <w:rsid w:val="00E53DA7"/>
    <w:rsid w:val="00E55D5E"/>
    <w:rsid w:val="00E56237"/>
    <w:rsid w:val="00E562FF"/>
    <w:rsid w:val="00E5651E"/>
    <w:rsid w:val="00E56A81"/>
    <w:rsid w:val="00E56CD7"/>
    <w:rsid w:val="00E57122"/>
    <w:rsid w:val="00E57159"/>
    <w:rsid w:val="00E574BD"/>
    <w:rsid w:val="00E57A66"/>
    <w:rsid w:val="00E60B89"/>
    <w:rsid w:val="00E61809"/>
    <w:rsid w:val="00E61A50"/>
    <w:rsid w:val="00E61D81"/>
    <w:rsid w:val="00E61E02"/>
    <w:rsid w:val="00E625A1"/>
    <w:rsid w:val="00E62D57"/>
    <w:rsid w:val="00E63038"/>
    <w:rsid w:val="00E632A5"/>
    <w:rsid w:val="00E636B5"/>
    <w:rsid w:val="00E6371D"/>
    <w:rsid w:val="00E63EF2"/>
    <w:rsid w:val="00E65944"/>
    <w:rsid w:val="00E660C4"/>
    <w:rsid w:val="00E6659F"/>
    <w:rsid w:val="00E670CD"/>
    <w:rsid w:val="00E672E8"/>
    <w:rsid w:val="00E67642"/>
    <w:rsid w:val="00E70BBE"/>
    <w:rsid w:val="00E70F21"/>
    <w:rsid w:val="00E71133"/>
    <w:rsid w:val="00E713F7"/>
    <w:rsid w:val="00E720F4"/>
    <w:rsid w:val="00E72EA2"/>
    <w:rsid w:val="00E737E0"/>
    <w:rsid w:val="00E738BB"/>
    <w:rsid w:val="00E7395E"/>
    <w:rsid w:val="00E73B28"/>
    <w:rsid w:val="00E73CEC"/>
    <w:rsid w:val="00E7403C"/>
    <w:rsid w:val="00E746B4"/>
    <w:rsid w:val="00E74CE4"/>
    <w:rsid w:val="00E75433"/>
    <w:rsid w:val="00E761B1"/>
    <w:rsid w:val="00E76DA9"/>
    <w:rsid w:val="00E774A2"/>
    <w:rsid w:val="00E805D7"/>
    <w:rsid w:val="00E8063E"/>
    <w:rsid w:val="00E807CF"/>
    <w:rsid w:val="00E80EE9"/>
    <w:rsid w:val="00E81ADB"/>
    <w:rsid w:val="00E81AFA"/>
    <w:rsid w:val="00E81ED4"/>
    <w:rsid w:val="00E822F6"/>
    <w:rsid w:val="00E8242F"/>
    <w:rsid w:val="00E826CE"/>
    <w:rsid w:val="00E827B3"/>
    <w:rsid w:val="00E82A41"/>
    <w:rsid w:val="00E82D2D"/>
    <w:rsid w:val="00E830FB"/>
    <w:rsid w:val="00E8318D"/>
    <w:rsid w:val="00E83377"/>
    <w:rsid w:val="00E83F7A"/>
    <w:rsid w:val="00E84D3A"/>
    <w:rsid w:val="00E84D6C"/>
    <w:rsid w:val="00E85301"/>
    <w:rsid w:val="00E85758"/>
    <w:rsid w:val="00E859EA"/>
    <w:rsid w:val="00E85A52"/>
    <w:rsid w:val="00E85B64"/>
    <w:rsid w:val="00E85F4D"/>
    <w:rsid w:val="00E861DE"/>
    <w:rsid w:val="00E876E5"/>
    <w:rsid w:val="00E87E2A"/>
    <w:rsid w:val="00E9057D"/>
    <w:rsid w:val="00E916A0"/>
    <w:rsid w:val="00E917D0"/>
    <w:rsid w:val="00E918E2"/>
    <w:rsid w:val="00E91D66"/>
    <w:rsid w:val="00E927CB"/>
    <w:rsid w:val="00E92C71"/>
    <w:rsid w:val="00E93233"/>
    <w:rsid w:val="00E93FAE"/>
    <w:rsid w:val="00E94801"/>
    <w:rsid w:val="00E94EA9"/>
    <w:rsid w:val="00E94F63"/>
    <w:rsid w:val="00E96279"/>
    <w:rsid w:val="00E9693A"/>
    <w:rsid w:val="00E96ACF"/>
    <w:rsid w:val="00E96DAC"/>
    <w:rsid w:val="00EA03FD"/>
    <w:rsid w:val="00EA0B9B"/>
    <w:rsid w:val="00EA2883"/>
    <w:rsid w:val="00EA2E44"/>
    <w:rsid w:val="00EA2F50"/>
    <w:rsid w:val="00EA3236"/>
    <w:rsid w:val="00EA3B4E"/>
    <w:rsid w:val="00EA3F66"/>
    <w:rsid w:val="00EA4714"/>
    <w:rsid w:val="00EA4AC0"/>
    <w:rsid w:val="00EA4DA6"/>
    <w:rsid w:val="00EA5452"/>
    <w:rsid w:val="00EA586D"/>
    <w:rsid w:val="00EA58B1"/>
    <w:rsid w:val="00EA7266"/>
    <w:rsid w:val="00EA7353"/>
    <w:rsid w:val="00EB0355"/>
    <w:rsid w:val="00EB0623"/>
    <w:rsid w:val="00EB0AAE"/>
    <w:rsid w:val="00EB126C"/>
    <w:rsid w:val="00EB1609"/>
    <w:rsid w:val="00EB1756"/>
    <w:rsid w:val="00EB1D3A"/>
    <w:rsid w:val="00EB2367"/>
    <w:rsid w:val="00EB2B8D"/>
    <w:rsid w:val="00EB2CFA"/>
    <w:rsid w:val="00EB2F73"/>
    <w:rsid w:val="00EB3132"/>
    <w:rsid w:val="00EB3B83"/>
    <w:rsid w:val="00EB3C0E"/>
    <w:rsid w:val="00EB3E67"/>
    <w:rsid w:val="00EB4001"/>
    <w:rsid w:val="00EB476D"/>
    <w:rsid w:val="00EB4770"/>
    <w:rsid w:val="00EB49DC"/>
    <w:rsid w:val="00EB54BE"/>
    <w:rsid w:val="00EB55AD"/>
    <w:rsid w:val="00EB5698"/>
    <w:rsid w:val="00EB5BCB"/>
    <w:rsid w:val="00EB6030"/>
    <w:rsid w:val="00EB61F1"/>
    <w:rsid w:val="00EB6801"/>
    <w:rsid w:val="00EB6B23"/>
    <w:rsid w:val="00EC0991"/>
    <w:rsid w:val="00EC0C02"/>
    <w:rsid w:val="00EC0E7E"/>
    <w:rsid w:val="00EC0F6B"/>
    <w:rsid w:val="00EC112E"/>
    <w:rsid w:val="00EC1494"/>
    <w:rsid w:val="00EC14CB"/>
    <w:rsid w:val="00EC20A0"/>
    <w:rsid w:val="00EC2588"/>
    <w:rsid w:val="00EC2CBE"/>
    <w:rsid w:val="00EC2F71"/>
    <w:rsid w:val="00EC3143"/>
    <w:rsid w:val="00EC3E68"/>
    <w:rsid w:val="00EC3F5C"/>
    <w:rsid w:val="00EC478D"/>
    <w:rsid w:val="00EC4D19"/>
    <w:rsid w:val="00EC4ED3"/>
    <w:rsid w:val="00EC50BE"/>
    <w:rsid w:val="00EC5132"/>
    <w:rsid w:val="00EC5C27"/>
    <w:rsid w:val="00EC5D33"/>
    <w:rsid w:val="00EC71F8"/>
    <w:rsid w:val="00ED018E"/>
    <w:rsid w:val="00ED0659"/>
    <w:rsid w:val="00ED0CCE"/>
    <w:rsid w:val="00ED0EF6"/>
    <w:rsid w:val="00ED1336"/>
    <w:rsid w:val="00ED19AF"/>
    <w:rsid w:val="00ED27A9"/>
    <w:rsid w:val="00ED2869"/>
    <w:rsid w:val="00ED3756"/>
    <w:rsid w:val="00ED3E0B"/>
    <w:rsid w:val="00ED3FB2"/>
    <w:rsid w:val="00ED48CB"/>
    <w:rsid w:val="00ED5159"/>
    <w:rsid w:val="00ED5788"/>
    <w:rsid w:val="00ED5883"/>
    <w:rsid w:val="00ED5948"/>
    <w:rsid w:val="00ED5EFB"/>
    <w:rsid w:val="00ED619D"/>
    <w:rsid w:val="00ED715C"/>
    <w:rsid w:val="00ED7474"/>
    <w:rsid w:val="00ED761C"/>
    <w:rsid w:val="00EE05EC"/>
    <w:rsid w:val="00EE1479"/>
    <w:rsid w:val="00EE18BA"/>
    <w:rsid w:val="00EE22EC"/>
    <w:rsid w:val="00EE38DD"/>
    <w:rsid w:val="00EE3A21"/>
    <w:rsid w:val="00EE4557"/>
    <w:rsid w:val="00EE5006"/>
    <w:rsid w:val="00EE52A0"/>
    <w:rsid w:val="00EE5365"/>
    <w:rsid w:val="00EE588C"/>
    <w:rsid w:val="00EE595F"/>
    <w:rsid w:val="00EE5B6D"/>
    <w:rsid w:val="00EE6491"/>
    <w:rsid w:val="00EE6733"/>
    <w:rsid w:val="00EE68ED"/>
    <w:rsid w:val="00EE7217"/>
    <w:rsid w:val="00EE7671"/>
    <w:rsid w:val="00EE7C50"/>
    <w:rsid w:val="00EE7F41"/>
    <w:rsid w:val="00EF03AE"/>
    <w:rsid w:val="00EF0435"/>
    <w:rsid w:val="00EF05C5"/>
    <w:rsid w:val="00EF0A45"/>
    <w:rsid w:val="00EF0EBE"/>
    <w:rsid w:val="00EF112B"/>
    <w:rsid w:val="00EF14A0"/>
    <w:rsid w:val="00EF16D3"/>
    <w:rsid w:val="00EF2D95"/>
    <w:rsid w:val="00EF2D9C"/>
    <w:rsid w:val="00EF2FE1"/>
    <w:rsid w:val="00EF37B5"/>
    <w:rsid w:val="00EF3F89"/>
    <w:rsid w:val="00EF434C"/>
    <w:rsid w:val="00EF5051"/>
    <w:rsid w:val="00EF5420"/>
    <w:rsid w:val="00EF57C5"/>
    <w:rsid w:val="00EF5D80"/>
    <w:rsid w:val="00EF64E6"/>
    <w:rsid w:val="00EF6DC8"/>
    <w:rsid w:val="00EF7254"/>
    <w:rsid w:val="00EF76D4"/>
    <w:rsid w:val="00EF7E83"/>
    <w:rsid w:val="00F00D7B"/>
    <w:rsid w:val="00F0120B"/>
    <w:rsid w:val="00F01964"/>
    <w:rsid w:val="00F01DEF"/>
    <w:rsid w:val="00F02145"/>
    <w:rsid w:val="00F021F5"/>
    <w:rsid w:val="00F02525"/>
    <w:rsid w:val="00F025B0"/>
    <w:rsid w:val="00F02B81"/>
    <w:rsid w:val="00F02B9E"/>
    <w:rsid w:val="00F02F91"/>
    <w:rsid w:val="00F0366F"/>
    <w:rsid w:val="00F036C2"/>
    <w:rsid w:val="00F037E7"/>
    <w:rsid w:val="00F03B91"/>
    <w:rsid w:val="00F03E7E"/>
    <w:rsid w:val="00F03F22"/>
    <w:rsid w:val="00F042E3"/>
    <w:rsid w:val="00F04780"/>
    <w:rsid w:val="00F04E31"/>
    <w:rsid w:val="00F06B19"/>
    <w:rsid w:val="00F076F0"/>
    <w:rsid w:val="00F10889"/>
    <w:rsid w:val="00F1091E"/>
    <w:rsid w:val="00F1108F"/>
    <w:rsid w:val="00F11572"/>
    <w:rsid w:val="00F121B6"/>
    <w:rsid w:val="00F13A9F"/>
    <w:rsid w:val="00F13DB7"/>
    <w:rsid w:val="00F143AA"/>
    <w:rsid w:val="00F14EA8"/>
    <w:rsid w:val="00F158C7"/>
    <w:rsid w:val="00F1598A"/>
    <w:rsid w:val="00F16F37"/>
    <w:rsid w:val="00F16FF4"/>
    <w:rsid w:val="00F1708E"/>
    <w:rsid w:val="00F1724D"/>
    <w:rsid w:val="00F1753B"/>
    <w:rsid w:val="00F17663"/>
    <w:rsid w:val="00F177BB"/>
    <w:rsid w:val="00F178F6"/>
    <w:rsid w:val="00F17A3A"/>
    <w:rsid w:val="00F2039B"/>
    <w:rsid w:val="00F20725"/>
    <w:rsid w:val="00F209F8"/>
    <w:rsid w:val="00F20BC0"/>
    <w:rsid w:val="00F2101A"/>
    <w:rsid w:val="00F21408"/>
    <w:rsid w:val="00F21442"/>
    <w:rsid w:val="00F217CE"/>
    <w:rsid w:val="00F21B64"/>
    <w:rsid w:val="00F22695"/>
    <w:rsid w:val="00F228D1"/>
    <w:rsid w:val="00F22BE1"/>
    <w:rsid w:val="00F22C8A"/>
    <w:rsid w:val="00F22DE7"/>
    <w:rsid w:val="00F22FDB"/>
    <w:rsid w:val="00F236B1"/>
    <w:rsid w:val="00F23A04"/>
    <w:rsid w:val="00F23C88"/>
    <w:rsid w:val="00F23DF9"/>
    <w:rsid w:val="00F24099"/>
    <w:rsid w:val="00F240A4"/>
    <w:rsid w:val="00F2442D"/>
    <w:rsid w:val="00F247DE"/>
    <w:rsid w:val="00F24962"/>
    <w:rsid w:val="00F2518F"/>
    <w:rsid w:val="00F2527A"/>
    <w:rsid w:val="00F265BB"/>
    <w:rsid w:val="00F275EC"/>
    <w:rsid w:val="00F277DA"/>
    <w:rsid w:val="00F27BF9"/>
    <w:rsid w:val="00F3027A"/>
    <w:rsid w:val="00F302E2"/>
    <w:rsid w:val="00F30DE6"/>
    <w:rsid w:val="00F314FC"/>
    <w:rsid w:val="00F31C6D"/>
    <w:rsid w:val="00F3231D"/>
    <w:rsid w:val="00F32710"/>
    <w:rsid w:val="00F327D9"/>
    <w:rsid w:val="00F32D39"/>
    <w:rsid w:val="00F32E2D"/>
    <w:rsid w:val="00F33054"/>
    <w:rsid w:val="00F33D6F"/>
    <w:rsid w:val="00F33E62"/>
    <w:rsid w:val="00F33EA3"/>
    <w:rsid w:val="00F344E4"/>
    <w:rsid w:val="00F34A2B"/>
    <w:rsid w:val="00F34D74"/>
    <w:rsid w:val="00F34D8D"/>
    <w:rsid w:val="00F34E68"/>
    <w:rsid w:val="00F34ED7"/>
    <w:rsid w:val="00F3510C"/>
    <w:rsid w:val="00F367E0"/>
    <w:rsid w:val="00F368AD"/>
    <w:rsid w:val="00F36A13"/>
    <w:rsid w:val="00F36AB4"/>
    <w:rsid w:val="00F37F9A"/>
    <w:rsid w:val="00F40437"/>
    <w:rsid w:val="00F40BD5"/>
    <w:rsid w:val="00F4153C"/>
    <w:rsid w:val="00F41541"/>
    <w:rsid w:val="00F43965"/>
    <w:rsid w:val="00F439B0"/>
    <w:rsid w:val="00F44035"/>
    <w:rsid w:val="00F44106"/>
    <w:rsid w:val="00F44542"/>
    <w:rsid w:val="00F445D2"/>
    <w:rsid w:val="00F445E6"/>
    <w:rsid w:val="00F4468F"/>
    <w:rsid w:val="00F44B46"/>
    <w:rsid w:val="00F45CA8"/>
    <w:rsid w:val="00F4637B"/>
    <w:rsid w:val="00F475EA"/>
    <w:rsid w:val="00F506FF"/>
    <w:rsid w:val="00F50746"/>
    <w:rsid w:val="00F50B9B"/>
    <w:rsid w:val="00F5195F"/>
    <w:rsid w:val="00F52D26"/>
    <w:rsid w:val="00F53B53"/>
    <w:rsid w:val="00F53FA5"/>
    <w:rsid w:val="00F548A4"/>
    <w:rsid w:val="00F5521B"/>
    <w:rsid w:val="00F5527D"/>
    <w:rsid w:val="00F55BAB"/>
    <w:rsid w:val="00F5622D"/>
    <w:rsid w:val="00F5635B"/>
    <w:rsid w:val="00F57384"/>
    <w:rsid w:val="00F61C61"/>
    <w:rsid w:val="00F61CED"/>
    <w:rsid w:val="00F62706"/>
    <w:rsid w:val="00F62902"/>
    <w:rsid w:val="00F62F5D"/>
    <w:rsid w:val="00F63803"/>
    <w:rsid w:val="00F63D6C"/>
    <w:rsid w:val="00F645DE"/>
    <w:rsid w:val="00F64843"/>
    <w:rsid w:val="00F64DC8"/>
    <w:rsid w:val="00F65089"/>
    <w:rsid w:val="00F651D8"/>
    <w:rsid w:val="00F651F3"/>
    <w:rsid w:val="00F65B53"/>
    <w:rsid w:val="00F65D79"/>
    <w:rsid w:val="00F65FB7"/>
    <w:rsid w:val="00F664BD"/>
    <w:rsid w:val="00F66CB6"/>
    <w:rsid w:val="00F67291"/>
    <w:rsid w:val="00F672D0"/>
    <w:rsid w:val="00F678BB"/>
    <w:rsid w:val="00F67B58"/>
    <w:rsid w:val="00F70262"/>
    <w:rsid w:val="00F704C7"/>
    <w:rsid w:val="00F70EEC"/>
    <w:rsid w:val="00F7128C"/>
    <w:rsid w:val="00F71463"/>
    <w:rsid w:val="00F715C8"/>
    <w:rsid w:val="00F716B3"/>
    <w:rsid w:val="00F71E3D"/>
    <w:rsid w:val="00F72361"/>
    <w:rsid w:val="00F7261E"/>
    <w:rsid w:val="00F726BB"/>
    <w:rsid w:val="00F72825"/>
    <w:rsid w:val="00F73A9C"/>
    <w:rsid w:val="00F73F23"/>
    <w:rsid w:val="00F747B4"/>
    <w:rsid w:val="00F74BC9"/>
    <w:rsid w:val="00F74CE5"/>
    <w:rsid w:val="00F754E6"/>
    <w:rsid w:val="00F7646D"/>
    <w:rsid w:val="00F76A2F"/>
    <w:rsid w:val="00F76CA7"/>
    <w:rsid w:val="00F771D7"/>
    <w:rsid w:val="00F77424"/>
    <w:rsid w:val="00F77481"/>
    <w:rsid w:val="00F777FA"/>
    <w:rsid w:val="00F77D97"/>
    <w:rsid w:val="00F80081"/>
    <w:rsid w:val="00F819B5"/>
    <w:rsid w:val="00F82B53"/>
    <w:rsid w:val="00F82BDD"/>
    <w:rsid w:val="00F833F6"/>
    <w:rsid w:val="00F8398E"/>
    <w:rsid w:val="00F846E9"/>
    <w:rsid w:val="00F84FEA"/>
    <w:rsid w:val="00F85152"/>
    <w:rsid w:val="00F854EF"/>
    <w:rsid w:val="00F854FA"/>
    <w:rsid w:val="00F856CA"/>
    <w:rsid w:val="00F861C5"/>
    <w:rsid w:val="00F862D8"/>
    <w:rsid w:val="00F86D38"/>
    <w:rsid w:val="00F87AA8"/>
    <w:rsid w:val="00F909DD"/>
    <w:rsid w:val="00F90BED"/>
    <w:rsid w:val="00F90E76"/>
    <w:rsid w:val="00F91774"/>
    <w:rsid w:val="00F91AD1"/>
    <w:rsid w:val="00F92237"/>
    <w:rsid w:val="00F9249B"/>
    <w:rsid w:val="00F92B4B"/>
    <w:rsid w:val="00F92F46"/>
    <w:rsid w:val="00F930E1"/>
    <w:rsid w:val="00F93584"/>
    <w:rsid w:val="00F945BB"/>
    <w:rsid w:val="00F9468E"/>
    <w:rsid w:val="00F95029"/>
    <w:rsid w:val="00F95184"/>
    <w:rsid w:val="00F95423"/>
    <w:rsid w:val="00F95EC7"/>
    <w:rsid w:val="00F96240"/>
    <w:rsid w:val="00F96660"/>
    <w:rsid w:val="00F967FB"/>
    <w:rsid w:val="00F97898"/>
    <w:rsid w:val="00F97BE5"/>
    <w:rsid w:val="00FA038A"/>
    <w:rsid w:val="00FA106D"/>
    <w:rsid w:val="00FA1A80"/>
    <w:rsid w:val="00FA231F"/>
    <w:rsid w:val="00FA287D"/>
    <w:rsid w:val="00FA2D49"/>
    <w:rsid w:val="00FA31F2"/>
    <w:rsid w:val="00FA36CD"/>
    <w:rsid w:val="00FA3E40"/>
    <w:rsid w:val="00FA41B7"/>
    <w:rsid w:val="00FA4934"/>
    <w:rsid w:val="00FA4D3C"/>
    <w:rsid w:val="00FA5E01"/>
    <w:rsid w:val="00FA61C0"/>
    <w:rsid w:val="00FA6838"/>
    <w:rsid w:val="00FA68B8"/>
    <w:rsid w:val="00FA7860"/>
    <w:rsid w:val="00FA78D9"/>
    <w:rsid w:val="00FA7BC2"/>
    <w:rsid w:val="00FB0305"/>
    <w:rsid w:val="00FB13BE"/>
    <w:rsid w:val="00FB1AED"/>
    <w:rsid w:val="00FB200D"/>
    <w:rsid w:val="00FB23D6"/>
    <w:rsid w:val="00FB2731"/>
    <w:rsid w:val="00FB2901"/>
    <w:rsid w:val="00FB3C75"/>
    <w:rsid w:val="00FB3F91"/>
    <w:rsid w:val="00FB42CD"/>
    <w:rsid w:val="00FB4519"/>
    <w:rsid w:val="00FB4CC6"/>
    <w:rsid w:val="00FB50B1"/>
    <w:rsid w:val="00FB5279"/>
    <w:rsid w:val="00FB5598"/>
    <w:rsid w:val="00FB616F"/>
    <w:rsid w:val="00FB63DD"/>
    <w:rsid w:val="00FB6F73"/>
    <w:rsid w:val="00FB7116"/>
    <w:rsid w:val="00FB724C"/>
    <w:rsid w:val="00FB747D"/>
    <w:rsid w:val="00FB799C"/>
    <w:rsid w:val="00FB7BA6"/>
    <w:rsid w:val="00FB7BD0"/>
    <w:rsid w:val="00FC0EB0"/>
    <w:rsid w:val="00FC12E1"/>
    <w:rsid w:val="00FC29A1"/>
    <w:rsid w:val="00FC2A34"/>
    <w:rsid w:val="00FC2D75"/>
    <w:rsid w:val="00FC3482"/>
    <w:rsid w:val="00FC39C2"/>
    <w:rsid w:val="00FC4D3A"/>
    <w:rsid w:val="00FC549D"/>
    <w:rsid w:val="00FC56C5"/>
    <w:rsid w:val="00FC6544"/>
    <w:rsid w:val="00FC6832"/>
    <w:rsid w:val="00FC686D"/>
    <w:rsid w:val="00FC7A5E"/>
    <w:rsid w:val="00FC7A64"/>
    <w:rsid w:val="00FD0282"/>
    <w:rsid w:val="00FD0766"/>
    <w:rsid w:val="00FD0D1A"/>
    <w:rsid w:val="00FD10C0"/>
    <w:rsid w:val="00FD16DE"/>
    <w:rsid w:val="00FD17B9"/>
    <w:rsid w:val="00FD19FB"/>
    <w:rsid w:val="00FD1F0C"/>
    <w:rsid w:val="00FD2763"/>
    <w:rsid w:val="00FD2C27"/>
    <w:rsid w:val="00FD2F46"/>
    <w:rsid w:val="00FD314F"/>
    <w:rsid w:val="00FD31EF"/>
    <w:rsid w:val="00FD3C27"/>
    <w:rsid w:val="00FD4B1F"/>
    <w:rsid w:val="00FD4E57"/>
    <w:rsid w:val="00FD4E6D"/>
    <w:rsid w:val="00FD5317"/>
    <w:rsid w:val="00FD5868"/>
    <w:rsid w:val="00FD602A"/>
    <w:rsid w:val="00FD65F6"/>
    <w:rsid w:val="00FD7115"/>
    <w:rsid w:val="00FD745B"/>
    <w:rsid w:val="00FE036A"/>
    <w:rsid w:val="00FE0655"/>
    <w:rsid w:val="00FE1825"/>
    <w:rsid w:val="00FE26EA"/>
    <w:rsid w:val="00FE28E5"/>
    <w:rsid w:val="00FE2943"/>
    <w:rsid w:val="00FE2EB0"/>
    <w:rsid w:val="00FE3005"/>
    <w:rsid w:val="00FE30DB"/>
    <w:rsid w:val="00FE34C3"/>
    <w:rsid w:val="00FE3E35"/>
    <w:rsid w:val="00FE3F64"/>
    <w:rsid w:val="00FE4DF3"/>
    <w:rsid w:val="00FE635C"/>
    <w:rsid w:val="00FE656E"/>
    <w:rsid w:val="00FE6DBB"/>
    <w:rsid w:val="00FE6E56"/>
    <w:rsid w:val="00FE7216"/>
    <w:rsid w:val="00FE7D60"/>
    <w:rsid w:val="00FE7F08"/>
    <w:rsid w:val="00FE7F1E"/>
    <w:rsid w:val="00FF0033"/>
    <w:rsid w:val="00FF04AC"/>
    <w:rsid w:val="00FF05CE"/>
    <w:rsid w:val="00FF09DC"/>
    <w:rsid w:val="00FF1E8C"/>
    <w:rsid w:val="00FF27B7"/>
    <w:rsid w:val="00FF283A"/>
    <w:rsid w:val="00FF2CB3"/>
    <w:rsid w:val="00FF346D"/>
    <w:rsid w:val="00FF35CD"/>
    <w:rsid w:val="00FF36D4"/>
    <w:rsid w:val="00FF3C9C"/>
    <w:rsid w:val="00FF4E19"/>
    <w:rsid w:val="00FF562A"/>
    <w:rsid w:val="00FF6B7F"/>
    <w:rsid w:val="00FF74AD"/>
    <w:rsid w:val="00FF7EE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2894B3"/>
  <w15:docId w15:val="{486EEB68-0594-49FC-B7C4-FE61F775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4BB"/>
    <w:pPr>
      <w:spacing w:after="0" w:line="240" w:lineRule="auto"/>
    </w:pPr>
  </w:style>
  <w:style w:type="paragraph" w:styleId="Heading1">
    <w:name w:val="heading 1"/>
    <w:basedOn w:val="Normal"/>
    <w:next w:val="Normal"/>
    <w:link w:val="Heading1Char"/>
    <w:uiPriority w:val="9"/>
    <w:qFormat/>
    <w:rsid w:val="005F2D63"/>
    <w:pPr>
      <w:keepNext/>
      <w:keepLines/>
      <w:spacing w:before="120" w:after="120"/>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link w:val="Heading2Char"/>
    <w:uiPriority w:val="9"/>
    <w:qFormat/>
    <w:rsid w:val="00FF4E19"/>
    <w:pPr>
      <w:spacing w:before="120" w:after="120"/>
      <w:outlineLvl w:val="1"/>
    </w:pPr>
    <w:rPr>
      <w:rFonts w:asciiTheme="majorHAnsi" w:eastAsia="Times New Roman" w:hAnsiTheme="majorHAnsi" w:cs="Times New Roman"/>
      <w:bCs/>
      <w:color w:val="2E74B5"/>
      <w:sz w:val="28"/>
      <w:szCs w:val="36"/>
      <w:lang w:eastAsia="en-AU"/>
    </w:rPr>
  </w:style>
  <w:style w:type="paragraph" w:styleId="Heading3">
    <w:name w:val="heading 3"/>
    <w:basedOn w:val="Normal"/>
    <w:next w:val="Normal"/>
    <w:link w:val="Heading3Char"/>
    <w:uiPriority w:val="9"/>
    <w:unhideWhenUsed/>
    <w:qFormat/>
    <w:rsid w:val="00726A82"/>
    <w:pPr>
      <w:keepNext/>
      <w:keepLines/>
      <w:spacing w:before="40" w:after="120"/>
      <w:outlineLvl w:val="2"/>
    </w:pPr>
    <w:rPr>
      <w:rFonts w:asciiTheme="majorHAnsi" w:eastAsiaTheme="majorEastAsia" w:hAnsiTheme="majorHAnsi" w:cstheme="majorBidi"/>
      <w:b/>
      <w:color w:val="2E74B5"/>
      <w:sz w:val="24"/>
      <w:szCs w:val="24"/>
    </w:rPr>
  </w:style>
  <w:style w:type="paragraph" w:styleId="Heading4">
    <w:name w:val="heading 4"/>
    <w:basedOn w:val="Normal"/>
    <w:next w:val="Normal"/>
    <w:link w:val="Heading4Char"/>
    <w:uiPriority w:val="9"/>
    <w:unhideWhenUsed/>
    <w:qFormat/>
    <w:rsid w:val="00DE35ED"/>
    <w:pPr>
      <w:keepNext/>
      <w:keepLines/>
      <w:spacing w:before="40" w:after="120"/>
      <w:outlineLvl w:val="3"/>
    </w:pPr>
    <w:rPr>
      <w:rFonts w:asciiTheme="majorHAnsi" w:eastAsiaTheme="majorEastAsia" w:hAnsiTheme="majorHAnsi" w:cstheme="majorBidi"/>
      <w:iCs/>
      <w:color w:val="2E74B5" w:themeColor="accent1" w:themeShade="BF"/>
    </w:rPr>
  </w:style>
  <w:style w:type="paragraph" w:styleId="Heading5">
    <w:name w:val="heading 5"/>
    <w:basedOn w:val="Normal"/>
    <w:next w:val="Normal"/>
    <w:link w:val="Heading5Char"/>
    <w:uiPriority w:val="9"/>
    <w:unhideWhenUsed/>
    <w:qFormat/>
    <w:rsid w:val="0034015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4015B"/>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34015B"/>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D0EF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D0EF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E19"/>
    <w:rPr>
      <w:rFonts w:asciiTheme="majorHAnsi" w:eastAsia="Times New Roman" w:hAnsiTheme="majorHAnsi" w:cs="Times New Roman"/>
      <w:bCs/>
      <w:color w:val="2E74B5"/>
      <w:sz w:val="28"/>
      <w:szCs w:val="36"/>
      <w:lang w:eastAsia="en-AU"/>
    </w:rPr>
  </w:style>
  <w:style w:type="paragraph" w:styleId="ListParagraph">
    <w:name w:val="List Paragraph"/>
    <w:basedOn w:val="Normal"/>
    <w:uiPriority w:val="34"/>
    <w:qFormat/>
    <w:rsid w:val="00C9236D"/>
    <w:pPr>
      <w:ind w:left="720"/>
      <w:contextualSpacing/>
    </w:pPr>
  </w:style>
  <w:style w:type="paragraph" w:styleId="BalloonText">
    <w:name w:val="Balloon Text"/>
    <w:basedOn w:val="Normal"/>
    <w:link w:val="BalloonTextChar"/>
    <w:uiPriority w:val="99"/>
    <w:semiHidden/>
    <w:unhideWhenUsed/>
    <w:rsid w:val="00C923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36D"/>
    <w:rPr>
      <w:rFonts w:ascii="Segoe UI" w:hAnsi="Segoe UI" w:cs="Segoe UI"/>
      <w:sz w:val="18"/>
      <w:szCs w:val="18"/>
    </w:rPr>
  </w:style>
  <w:style w:type="character" w:styleId="CommentReference">
    <w:name w:val="annotation reference"/>
    <w:basedOn w:val="DefaultParagraphFont"/>
    <w:uiPriority w:val="99"/>
    <w:semiHidden/>
    <w:unhideWhenUsed/>
    <w:rsid w:val="00C9236D"/>
    <w:rPr>
      <w:sz w:val="16"/>
      <w:szCs w:val="16"/>
    </w:rPr>
  </w:style>
  <w:style w:type="paragraph" w:styleId="CommentText">
    <w:name w:val="annotation text"/>
    <w:basedOn w:val="Normal"/>
    <w:link w:val="CommentTextChar"/>
    <w:uiPriority w:val="99"/>
    <w:unhideWhenUsed/>
    <w:rsid w:val="00C9236D"/>
    <w:rPr>
      <w:sz w:val="20"/>
      <w:szCs w:val="20"/>
    </w:rPr>
  </w:style>
  <w:style w:type="character" w:customStyle="1" w:styleId="CommentTextChar">
    <w:name w:val="Comment Text Char"/>
    <w:basedOn w:val="DefaultParagraphFont"/>
    <w:link w:val="CommentText"/>
    <w:uiPriority w:val="99"/>
    <w:rsid w:val="00C9236D"/>
    <w:rPr>
      <w:sz w:val="20"/>
      <w:szCs w:val="20"/>
    </w:rPr>
  </w:style>
  <w:style w:type="paragraph" w:styleId="CommentSubject">
    <w:name w:val="annotation subject"/>
    <w:basedOn w:val="CommentText"/>
    <w:next w:val="CommentText"/>
    <w:link w:val="CommentSubjectChar"/>
    <w:uiPriority w:val="99"/>
    <w:semiHidden/>
    <w:unhideWhenUsed/>
    <w:rsid w:val="00C9236D"/>
    <w:rPr>
      <w:b/>
      <w:bCs/>
    </w:rPr>
  </w:style>
  <w:style w:type="character" w:customStyle="1" w:styleId="CommentSubjectChar">
    <w:name w:val="Comment Subject Char"/>
    <w:basedOn w:val="CommentTextChar"/>
    <w:link w:val="CommentSubject"/>
    <w:uiPriority w:val="99"/>
    <w:semiHidden/>
    <w:rsid w:val="00C9236D"/>
    <w:rPr>
      <w:b/>
      <w:bCs/>
      <w:sz w:val="20"/>
      <w:szCs w:val="20"/>
    </w:rPr>
  </w:style>
  <w:style w:type="paragraph" w:styleId="Revision">
    <w:name w:val="Revision"/>
    <w:hidden/>
    <w:uiPriority w:val="99"/>
    <w:semiHidden/>
    <w:rsid w:val="00C9236D"/>
    <w:pPr>
      <w:spacing w:after="0" w:line="240" w:lineRule="auto"/>
    </w:pPr>
  </w:style>
  <w:style w:type="paragraph" w:styleId="Header">
    <w:name w:val="header"/>
    <w:basedOn w:val="Normal"/>
    <w:link w:val="HeaderChar"/>
    <w:uiPriority w:val="99"/>
    <w:unhideWhenUsed/>
    <w:rsid w:val="00C9236D"/>
    <w:pPr>
      <w:tabs>
        <w:tab w:val="center" w:pos="4513"/>
        <w:tab w:val="right" w:pos="9026"/>
      </w:tabs>
    </w:pPr>
  </w:style>
  <w:style w:type="character" w:customStyle="1" w:styleId="HeaderChar">
    <w:name w:val="Header Char"/>
    <w:basedOn w:val="DefaultParagraphFont"/>
    <w:link w:val="Header"/>
    <w:uiPriority w:val="99"/>
    <w:rsid w:val="00C9236D"/>
  </w:style>
  <w:style w:type="paragraph" w:styleId="Footer">
    <w:name w:val="footer"/>
    <w:basedOn w:val="Normal"/>
    <w:link w:val="FooterChar"/>
    <w:uiPriority w:val="99"/>
    <w:unhideWhenUsed/>
    <w:rsid w:val="00C9236D"/>
    <w:pPr>
      <w:tabs>
        <w:tab w:val="center" w:pos="4513"/>
        <w:tab w:val="right" w:pos="9026"/>
      </w:tabs>
    </w:pPr>
  </w:style>
  <w:style w:type="character" w:customStyle="1" w:styleId="FooterChar">
    <w:name w:val="Footer Char"/>
    <w:basedOn w:val="DefaultParagraphFont"/>
    <w:link w:val="Footer"/>
    <w:uiPriority w:val="99"/>
    <w:rsid w:val="00C9236D"/>
  </w:style>
  <w:style w:type="character" w:styleId="Hyperlink">
    <w:name w:val="Hyperlink"/>
    <w:basedOn w:val="DefaultParagraphFont"/>
    <w:uiPriority w:val="99"/>
    <w:unhideWhenUsed/>
    <w:rsid w:val="00C9236D"/>
    <w:rPr>
      <w:color w:val="0563C1" w:themeColor="hyperlink"/>
      <w:u w:val="single"/>
    </w:rPr>
  </w:style>
  <w:style w:type="table" w:styleId="TableGrid">
    <w:name w:val="Table Grid"/>
    <w:basedOn w:val="TableNormal"/>
    <w:uiPriority w:val="39"/>
    <w:rsid w:val="00C92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9236D"/>
  </w:style>
  <w:style w:type="character" w:styleId="Emphasis">
    <w:name w:val="Emphasis"/>
    <w:basedOn w:val="DefaultParagraphFont"/>
    <w:uiPriority w:val="20"/>
    <w:qFormat/>
    <w:rsid w:val="00C9236D"/>
    <w:rPr>
      <w:i/>
      <w:iCs/>
    </w:rPr>
  </w:style>
  <w:style w:type="paragraph" w:customStyle="1" w:styleId="Default">
    <w:name w:val="Default"/>
    <w:rsid w:val="00C9236D"/>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C9236D"/>
    <w:rPr>
      <w:sz w:val="20"/>
      <w:szCs w:val="20"/>
    </w:rPr>
  </w:style>
  <w:style w:type="character" w:customStyle="1" w:styleId="FootnoteTextChar">
    <w:name w:val="Footnote Text Char"/>
    <w:basedOn w:val="DefaultParagraphFont"/>
    <w:link w:val="FootnoteText"/>
    <w:uiPriority w:val="99"/>
    <w:rsid w:val="00C9236D"/>
    <w:rPr>
      <w:sz w:val="20"/>
      <w:szCs w:val="20"/>
    </w:rPr>
  </w:style>
  <w:style w:type="character" w:styleId="FootnoteReference">
    <w:name w:val="footnote reference"/>
    <w:basedOn w:val="DefaultParagraphFont"/>
    <w:uiPriority w:val="99"/>
    <w:unhideWhenUsed/>
    <w:qFormat/>
    <w:rsid w:val="00C9236D"/>
    <w:rPr>
      <w:vertAlign w:val="superscript"/>
    </w:rPr>
  </w:style>
  <w:style w:type="paragraph" w:styleId="NoSpacing">
    <w:name w:val="No Spacing"/>
    <w:uiPriority w:val="1"/>
    <w:qFormat/>
    <w:rsid w:val="00D96CC8"/>
    <w:pPr>
      <w:spacing w:after="0" w:line="240" w:lineRule="auto"/>
    </w:pPr>
  </w:style>
  <w:style w:type="paragraph" w:styleId="NormalWeb">
    <w:name w:val="Normal (Web)"/>
    <w:basedOn w:val="Normal"/>
    <w:uiPriority w:val="99"/>
    <w:unhideWhenUsed/>
    <w:rsid w:val="00BA7E8B"/>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5F2D63"/>
    <w:rPr>
      <w:rFonts w:asciiTheme="majorHAnsi" w:eastAsiaTheme="majorEastAsia" w:hAnsiTheme="majorHAnsi" w:cstheme="majorBidi"/>
      <w:b/>
      <w:color w:val="2E74B5" w:themeColor="accent1" w:themeShade="BF"/>
      <w:sz w:val="32"/>
      <w:szCs w:val="32"/>
    </w:rPr>
  </w:style>
  <w:style w:type="table" w:customStyle="1" w:styleId="GridTable1Light1">
    <w:name w:val="Grid Table 1 Light1"/>
    <w:basedOn w:val="TableNormal"/>
    <w:uiPriority w:val="46"/>
    <w:rsid w:val="00A816A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926F10"/>
    <w:rPr>
      <w:color w:val="954F72" w:themeColor="followedHyperlink"/>
      <w:u w:val="single"/>
    </w:rPr>
  </w:style>
  <w:style w:type="character" w:customStyle="1" w:styleId="Heading3Char">
    <w:name w:val="Heading 3 Char"/>
    <w:basedOn w:val="DefaultParagraphFont"/>
    <w:link w:val="Heading3"/>
    <w:uiPriority w:val="9"/>
    <w:rsid w:val="00726A82"/>
    <w:rPr>
      <w:rFonts w:asciiTheme="majorHAnsi" w:eastAsiaTheme="majorEastAsia" w:hAnsiTheme="majorHAnsi" w:cstheme="majorBidi"/>
      <w:b/>
      <w:color w:val="2E74B5"/>
      <w:sz w:val="24"/>
      <w:szCs w:val="24"/>
    </w:rPr>
  </w:style>
  <w:style w:type="character" w:styleId="Strong">
    <w:name w:val="Strong"/>
    <w:basedOn w:val="DefaultParagraphFont"/>
    <w:uiPriority w:val="22"/>
    <w:qFormat/>
    <w:rsid w:val="000F5962"/>
    <w:rPr>
      <w:b/>
      <w:bCs/>
    </w:rPr>
  </w:style>
  <w:style w:type="character" w:styleId="UnresolvedMention">
    <w:name w:val="Unresolved Mention"/>
    <w:basedOn w:val="DefaultParagraphFont"/>
    <w:uiPriority w:val="99"/>
    <w:semiHidden/>
    <w:unhideWhenUsed/>
    <w:rsid w:val="00196CA9"/>
    <w:rPr>
      <w:color w:val="605E5C"/>
      <w:shd w:val="clear" w:color="auto" w:fill="E1DFDD"/>
    </w:rPr>
  </w:style>
  <w:style w:type="character" w:customStyle="1" w:styleId="Heading4Char">
    <w:name w:val="Heading 4 Char"/>
    <w:basedOn w:val="DefaultParagraphFont"/>
    <w:link w:val="Heading4"/>
    <w:uiPriority w:val="9"/>
    <w:rsid w:val="00DE35ED"/>
    <w:rPr>
      <w:rFonts w:asciiTheme="majorHAnsi" w:eastAsiaTheme="majorEastAsia" w:hAnsiTheme="majorHAnsi" w:cstheme="majorBidi"/>
      <w:iCs/>
      <w:color w:val="2E74B5" w:themeColor="accent1" w:themeShade="BF"/>
    </w:rPr>
  </w:style>
  <w:style w:type="character" w:customStyle="1" w:styleId="Heading5Char">
    <w:name w:val="Heading 5 Char"/>
    <w:basedOn w:val="DefaultParagraphFont"/>
    <w:link w:val="Heading5"/>
    <w:uiPriority w:val="9"/>
    <w:rsid w:val="0034015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34015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34015B"/>
    <w:rPr>
      <w:rFonts w:asciiTheme="majorHAnsi" w:eastAsiaTheme="majorEastAsia" w:hAnsiTheme="majorHAnsi" w:cstheme="majorBidi"/>
      <w:i/>
      <w:iCs/>
      <w:color w:val="1F4D78" w:themeColor="accent1" w:themeShade="7F"/>
    </w:rPr>
  </w:style>
  <w:style w:type="paragraph" w:styleId="BodyText">
    <w:name w:val="Body Text"/>
    <w:basedOn w:val="Normal"/>
    <w:link w:val="BodyTextChar"/>
    <w:qFormat/>
    <w:rsid w:val="002A2AFF"/>
    <w:pPr>
      <w:spacing w:after="120" w:line="264" w:lineRule="auto"/>
    </w:pPr>
    <w:rPr>
      <w:color w:val="262626" w:themeColor="text1" w:themeTint="D9"/>
      <w:sz w:val="20"/>
      <w:szCs w:val="20"/>
    </w:rPr>
  </w:style>
  <w:style w:type="character" w:customStyle="1" w:styleId="BodyTextChar">
    <w:name w:val="Body Text Char"/>
    <w:basedOn w:val="DefaultParagraphFont"/>
    <w:link w:val="BodyText"/>
    <w:rsid w:val="002A2AFF"/>
    <w:rPr>
      <w:color w:val="262626" w:themeColor="text1" w:themeTint="D9"/>
      <w:sz w:val="20"/>
      <w:szCs w:val="20"/>
    </w:rPr>
  </w:style>
  <w:style w:type="table" w:styleId="ListTable2-Accent1">
    <w:name w:val="List Table 2 Accent 1"/>
    <w:basedOn w:val="TableNormal"/>
    <w:uiPriority w:val="47"/>
    <w:rsid w:val="00F33D6F"/>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Bullet">
    <w:name w:val="Bullet"/>
    <w:aliases w:val="b,b + line,b1,Body,level 1,Bullet + line,BodyNum,bulleted,Bullet Char1,Bullet Char1 Char Char Char Char,b1 Char Char Char,Bullet Char1 Char Char Char Char Char,Bullet Char1 Char Char Char,CG-Bullet"/>
    <w:basedOn w:val="Normal"/>
    <w:link w:val="BulletChar"/>
    <w:qFormat/>
    <w:rsid w:val="007E263B"/>
    <w:pPr>
      <w:numPr>
        <w:numId w:val="35"/>
      </w:numPr>
      <w:spacing w:before="120" w:line="276" w:lineRule="auto"/>
    </w:pPr>
    <w:rPr>
      <w:rFonts w:ascii="Calibri Light" w:eastAsia="Times New Roman" w:hAnsi="Calibri Light" w:cs="Times New Roman"/>
      <w:szCs w:val="20"/>
      <w:lang w:eastAsia="en-AU"/>
    </w:rPr>
  </w:style>
  <w:style w:type="character" w:customStyle="1" w:styleId="BulletChar">
    <w:name w:val="Bullet Char"/>
    <w:aliases w:val="b Char,b + line Char Char,b Char Char,b1 Char,b + line Char,Body Char,level 1 Char,Bulleted Para Char,Bullets Char,Number Char,F5 List Paragraph Char,Dot pt Char,Bullet + line Char,L Char,List Paragraph Char,List Paragraph1 Char"/>
    <w:basedOn w:val="DefaultParagraphFont"/>
    <w:link w:val="Bullet"/>
    <w:qFormat/>
    <w:locked/>
    <w:rsid w:val="007E263B"/>
    <w:rPr>
      <w:rFonts w:ascii="Calibri Light" w:eastAsia="Times New Roman" w:hAnsi="Calibri Light" w:cs="Times New Roman"/>
      <w:szCs w:val="20"/>
      <w:lang w:eastAsia="en-AU"/>
    </w:rPr>
  </w:style>
  <w:style w:type="character" w:styleId="BookTitle">
    <w:name w:val="Book Title"/>
    <w:basedOn w:val="DefaultParagraphFont"/>
    <w:uiPriority w:val="33"/>
    <w:qFormat/>
    <w:rsid w:val="00ED0EF6"/>
    <w:rPr>
      <w:b/>
      <w:bCs/>
      <w:i/>
      <w:iCs/>
      <w:spacing w:val="5"/>
    </w:rPr>
  </w:style>
  <w:style w:type="paragraph" w:styleId="Caption">
    <w:name w:val="caption"/>
    <w:basedOn w:val="Normal"/>
    <w:next w:val="Normal"/>
    <w:uiPriority w:val="35"/>
    <w:semiHidden/>
    <w:unhideWhenUsed/>
    <w:qFormat/>
    <w:rsid w:val="00ED0EF6"/>
    <w:pPr>
      <w:spacing w:after="200"/>
    </w:pPr>
    <w:rPr>
      <w:i/>
      <w:iCs/>
      <w:color w:val="44546A" w:themeColor="text2"/>
      <w:sz w:val="18"/>
      <w:szCs w:val="18"/>
    </w:rPr>
  </w:style>
  <w:style w:type="character" w:customStyle="1" w:styleId="Heading8Char">
    <w:name w:val="Heading 8 Char"/>
    <w:basedOn w:val="DefaultParagraphFont"/>
    <w:link w:val="Heading8"/>
    <w:uiPriority w:val="9"/>
    <w:semiHidden/>
    <w:rsid w:val="00ED0E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D0EF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D0EF6"/>
    <w:rPr>
      <w:i/>
      <w:iCs/>
      <w:color w:val="5B9BD5" w:themeColor="accent1"/>
    </w:rPr>
  </w:style>
  <w:style w:type="paragraph" w:styleId="IntenseQuote">
    <w:name w:val="Intense Quote"/>
    <w:basedOn w:val="Normal"/>
    <w:next w:val="Normal"/>
    <w:link w:val="IntenseQuoteChar"/>
    <w:uiPriority w:val="30"/>
    <w:qFormat/>
    <w:rsid w:val="00ED0EF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D0EF6"/>
    <w:rPr>
      <w:i/>
      <w:iCs/>
      <w:color w:val="5B9BD5" w:themeColor="accent1"/>
    </w:rPr>
  </w:style>
  <w:style w:type="character" w:styleId="IntenseReference">
    <w:name w:val="Intense Reference"/>
    <w:basedOn w:val="DefaultParagraphFont"/>
    <w:uiPriority w:val="32"/>
    <w:qFormat/>
    <w:rsid w:val="00ED0EF6"/>
    <w:rPr>
      <w:b/>
      <w:bCs/>
      <w:smallCaps/>
      <w:color w:val="5B9BD5" w:themeColor="accent1"/>
      <w:spacing w:val="5"/>
    </w:rPr>
  </w:style>
  <w:style w:type="paragraph" w:styleId="Quote">
    <w:name w:val="Quote"/>
    <w:basedOn w:val="Normal"/>
    <w:next w:val="Normal"/>
    <w:link w:val="QuoteChar"/>
    <w:uiPriority w:val="29"/>
    <w:qFormat/>
    <w:rsid w:val="00ED0EF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D0EF6"/>
    <w:rPr>
      <w:i/>
      <w:iCs/>
      <w:color w:val="404040" w:themeColor="text1" w:themeTint="BF"/>
    </w:rPr>
  </w:style>
  <w:style w:type="paragraph" w:styleId="Subtitle">
    <w:name w:val="Subtitle"/>
    <w:basedOn w:val="Normal"/>
    <w:next w:val="Normal"/>
    <w:link w:val="SubtitleChar"/>
    <w:uiPriority w:val="11"/>
    <w:qFormat/>
    <w:rsid w:val="00ED0EF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D0EF6"/>
    <w:rPr>
      <w:rFonts w:eastAsiaTheme="minorEastAsia"/>
      <w:color w:val="5A5A5A" w:themeColor="text1" w:themeTint="A5"/>
      <w:spacing w:val="15"/>
    </w:rPr>
  </w:style>
  <w:style w:type="character" w:styleId="SubtleEmphasis">
    <w:name w:val="Subtle Emphasis"/>
    <w:basedOn w:val="DefaultParagraphFont"/>
    <w:uiPriority w:val="19"/>
    <w:qFormat/>
    <w:rsid w:val="00ED0EF6"/>
    <w:rPr>
      <w:i/>
      <w:iCs/>
      <w:color w:val="404040" w:themeColor="text1" w:themeTint="BF"/>
    </w:rPr>
  </w:style>
  <w:style w:type="character" w:styleId="SubtleReference">
    <w:name w:val="Subtle Reference"/>
    <w:basedOn w:val="DefaultParagraphFont"/>
    <w:uiPriority w:val="31"/>
    <w:qFormat/>
    <w:rsid w:val="00ED0EF6"/>
    <w:rPr>
      <w:smallCaps/>
      <w:color w:val="5A5A5A" w:themeColor="text1" w:themeTint="A5"/>
    </w:rPr>
  </w:style>
  <w:style w:type="paragraph" w:styleId="Title">
    <w:name w:val="Title"/>
    <w:basedOn w:val="Normal"/>
    <w:next w:val="Normal"/>
    <w:link w:val="TitleChar"/>
    <w:uiPriority w:val="10"/>
    <w:qFormat/>
    <w:rsid w:val="00ED0EF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EF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D0EF6"/>
    <w:pPr>
      <w:spacing w:before="240" w:after="0"/>
      <w:outlineLvl w:val="9"/>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7785">
      <w:bodyDiv w:val="1"/>
      <w:marLeft w:val="0"/>
      <w:marRight w:val="0"/>
      <w:marTop w:val="0"/>
      <w:marBottom w:val="0"/>
      <w:divBdr>
        <w:top w:val="none" w:sz="0" w:space="0" w:color="auto"/>
        <w:left w:val="none" w:sz="0" w:space="0" w:color="auto"/>
        <w:bottom w:val="none" w:sz="0" w:space="0" w:color="auto"/>
        <w:right w:val="none" w:sz="0" w:space="0" w:color="auto"/>
      </w:divBdr>
    </w:div>
    <w:div w:id="73817185">
      <w:bodyDiv w:val="1"/>
      <w:marLeft w:val="0"/>
      <w:marRight w:val="0"/>
      <w:marTop w:val="0"/>
      <w:marBottom w:val="0"/>
      <w:divBdr>
        <w:top w:val="none" w:sz="0" w:space="0" w:color="auto"/>
        <w:left w:val="none" w:sz="0" w:space="0" w:color="auto"/>
        <w:bottom w:val="none" w:sz="0" w:space="0" w:color="auto"/>
        <w:right w:val="none" w:sz="0" w:space="0" w:color="auto"/>
      </w:divBdr>
    </w:div>
    <w:div w:id="149518985">
      <w:bodyDiv w:val="1"/>
      <w:marLeft w:val="0"/>
      <w:marRight w:val="0"/>
      <w:marTop w:val="0"/>
      <w:marBottom w:val="0"/>
      <w:divBdr>
        <w:top w:val="none" w:sz="0" w:space="0" w:color="auto"/>
        <w:left w:val="none" w:sz="0" w:space="0" w:color="auto"/>
        <w:bottom w:val="none" w:sz="0" w:space="0" w:color="auto"/>
        <w:right w:val="none" w:sz="0" w:space="0" w:color="auto"/>
      </w:divBdr>
    </w:div>
    <w:div w:id="230390582">
      <w:bodyDiv w:val="1"/>
      <w:marLeft w:val="0"/>
      <w:marRight w:val="0"/>
      <w:marTop w:val="0"/>
      <w:marBottom w:val="0"/>
      <w:divBdr>
        <w:top w:val="none" w:sz="0" w:space="0" w:color="auto"/>
        <w:left w:val="none" w:sz="0" w:space="0" w:color="auto"/>
        <w:bottom w:val="none" w:sz="0" w:space="0" w:color="auto"/>
        <w:right w:val="none" w:sz="0" w:space="0" w:color="auto"/>
      </w:divBdr>
    </w:div>
    <w:div w:id="274021042">
      <w:bodyDiv w:val="1"/>
      <w:marLeft w:val="0"/>
      <w:marRight w:val="0"/>
      <w:marTop w:val="0"/>
      <w:marBottom w:val="0"/>
      <w:divBdr>
        <w:top w:val="none" w:sz="0" w:space="0" w:color="auto"/>
        <w:left w:val="none" w:sz="0" w:space="0" w:color="auto"/>
        <w:bottom w:val="none" w:sz="0" w:space="0" w:color="auto"/>
        <w:right w:val="none" w:sz="0" w:space="0" w:color="auto"/>
      </w:divBdr>
    </w:div>
    <w:div w:id="321659545">
      <w:bodyDiv w:val="1"/>
      <w:marLeft w:val="0"/>
      <w:marRight w:val="0"/>
      <w:marTop w:val="0"/>
      <w:marBottom w:val="0"/>
      <w:divBdr>
        <w:top w:val="none" w:sz="0" w:space="0" w:color="auto"/>
        <w:left w:val="none" w:sz="0" w:space="0" w:color="auto"/>
        <w:bottom w:val="none" w:sz="0" w:space="0" w:color="auto"/>
        <w:right w:val="none" w:sz="0" w:space="0" w:color="auto"/>
      </w:divBdr>
    </w:div>
    <w:div w:id="323317776">
      <w:bodyDiv w:val="1"/>
      <w:marLeft w:val="0"/>
      <w:marRight w:val="0"/>
      <w:marTop w:val="0"/>
      <w:marBottom w:val="0"/>
      <w:divBdr>
        <w:top w:val="none" w:sz="0" w:space="0" w:color="auto"/>
        <w:left w:val="none" w:sz="0" w:space="0" w:color="auto"/>
        <w:bottom w:val="none" w:sz="0" w:space="0" w:color="auto"/>
        <w:right w:val="none" w:sz="0" w:space="0" w:color="auto"/>
      </w:divBdr>
      <w:divsChild>
        <w:div w:id="191501962">
          <w:marLeft w:val="0"/>
          <w:marRight w:val="0"/>
          <w:marTop w:val="0"/>
          <w:marBottom w:val="0"/>
          <w:divBdr>
            <w:top w:val="none" w:sz="0" w:space="0" w:color="auto"/>
            <w:left w:val="none" w:sz="0" w:space="0" w:color="auto"/>
            <w:bottom w:val="none" w:sz="0" w:space="0" w:color="auto"/>
            <w:right w:val="none" w:sz="0" w:space="0" w:color="auto"/>
          </w:divBdr>
        </w:div>
        <w:div w:id="960765507">
          <w:marLeft w:val="0"/>
          <w:marRight w:val="0"/>
          <w:marTop w:val="0"/>
          <w:marBottom w:val="0"/>
          <w:divBdr>
            <w:top w:val="none" w:sz="0" w:space="0" w:color="auto"/>
            <w:left w:val="none" w:sz="0" w:space="0" w:color="auto"/>
            <w:bottom w:val="none" w:sz="0" w:space="0" w:color="auto"/>
            <w:right w:val="none" w:sz="0" w:space="0" w:color="auto"/>
          </w:divBdr>
        </w:div>
        <w:div w:id="1860123014">
          <w:marLeft w:val="0"/>
          <w:marRight w:val="0"/>
          <w:marTop w:val="0"/>
          <w:marBottom w:val="0"/>
          <w:divBdr>
            <w:top w:val="none" w:sz="0" w:space="0" w:color="auto"/>
            <w:left w:val="none" w:sz="0" w:space="0" w:color="auto"/>
            <w:bottom w:val="none" w:sz="0" w:space="0" w:color="auto"/>
            <w:right w:val="none" w:sz="0" w:space="0" w:color="auto"/>
          </w:divBdr>
        </w:div>
        <w:div w:id="1908346397">
          <w:marLeft w:val="0"/>
          <w:marRight w:val="0"/>
          <w:marTop w:val="0"/>
          <w:marBottom w:val="0"/>
          <w:divBdr>
            <w:top w:val="none" w:sz="0" w:space="0" w:color="auto"/>
            <w:left w:val="none" w:sz="0" w:space="0" w:color="auto"/>
            <w:bottom w:val="none" w:sz="0" w:space="0" w:color="auto"/>
            <w:right w:val="none" w:sz="0" w:space="0" w:color="auto"/>
          </w:divBdr>
        </w:div>
        <w:div w:id="107239066">
          <w:marLeft w:val="0"/>
          <w:marRight w:val="0"/>
          <w:marTop w:val="0"/>
          <w:marBottom w:val="0"/>
          <w:divBdr>
            <w:top w:val="none" w:sz="0" w:space="0" w:color="auto"/>
            <w:left w:val="none" w:sz="0" w:space="0" w:color="auto"/>
            <w:bottom w:val="none" w:sz="0" w:space="0" w:color="auto"/>
            <w:right w:val="none" w:sz="0" w:space="0" w:color="auto"/>
          </w:divBdr>
        </w:div>
        <w:div w:id="1636981057">
          <w:marLeft w:val="0"/>
          <w:marRight w:val="0"/>
          <w:marTop w:val="0"/>
          <w:marBottom w:val="0"/>
          <w:divBdr>
            <w:top w:val="none" w:sz="0" w:space="0" w:color="auto"/>
            <w:left w:val="none" w:sz="0" w:space="0" w:color="auto"/>
            <w:bottom w:val="none" w:sz="0" w:space="0" w:color="auto"/>
            <w:right w:val="none" w:sz="0" w:space="0" w:color="auto"/>
          </w:divBdr>
        </w:div>
        <w:div w:id="1056977488">
          <w:marLeft w:val="0"/>
          <w:marRight w:val="0"/>
          <w:marTop w:val="0"/>
          <w:marBottom w:val="0"/>
          <w:divBdr>
            <w:top w:val="none" w:sz="0" w:space="0" w:color="auto"/>
            <w:left w:val="none" w:sz="0" w:space="0" w:color="auto"/>
            <w:bottom w:val="none" w:sz="0" w:space="0" w:color="auto"/>
            <w:right w:val="none" w:sz="0" w:space="0" w:color="auto"/>
          </w:divBdr>
        </w:div>
        <w:div w:id="976838188">
          <w:marLeft w:val="0"/>
          <w:marRight w:val="0"/>
          <w:marTop w:val="0"/>
          <w:marBottom w:val="0"/>
          <w:divBdr>
            <w:top w:val="none" w:sz="0" w:space="0" w:color="auto"/>
            <w:left w:val="none" w:sz="0" w:space="0" w:color="auto"/>
            <w:bottom w:val="none" w:sz="0" w:space="0" w:color="auto"/>
            <w:right w:val="none" w:sz="0" w:space="0" w:color="auto"/>
          </w:divBdr>
        </w:div>
        <w:div w:id="1908874823">
          <w:marLeft w:val="0"/>
          <w:marRight w:val="0"/>
          <w:marTop w:val="0"/>
          <w:marBottom w:val="0"/>
          <w:divBdr>
            <w:top w:val="none" w:sz="0" w:space="0" w:color="auto"/>
            <w:left w:val="none" w:sz="0" w:space="0" w:color="auto"/>
            <w:bottom w:val="none" w:sz="0" w:space="0" w:color="auto"/>
            <w:right w:val="none" w:sz="0" w:space="0" w:color="auto"/>
          </w:divBdr>
        </w:div>
      </w:divsChild>
    </w:div>
    <w:div w:id="426774884">
      <w:bodyDiv w:val="1"/>
      <w:marLeft w:val="0"/>
      <w:marRight w:val="0"/>
      <w:marTop w:val="0"/>
      <w:marBottom w:val="0"/>
      <w:divBdr>
        <w:top w:val="none" w:sz="0" w:space="0" w:color="auto"/>
        <w:left w:val="none" w:sz="0" w:space="0" w:color="auto"/>
        <w:bottom w:val="none" w:sz="0" w:space="0" w:color="auto"/>
        <w:right w:val="none" w:sz="0" w:space="0" w:color="auto"/>
      </w:divBdr>
    </w:div>
    <w:div w:id="472215052">
      <w:bodyDiv w:val="1"/>
      <w:marLeft w:val="0"/>
      <w:marRight w:val="0"/>
      <w:marTop w:val="0"/>
      <w:marBottom w:val="0"/>
      <w:divBdr>
        <w:top w:val="none" w:sz="0" w:space="0" w:color="auto"/>
        <w:left w:val="none" w:sz="0" w:space="0" w:color="auto"/>
        <w:bottom w:val="none" w:sz="0" w:space="0" w:color="auto"/>
        <w:right w:val="none" w:sz="0" w:space="0" w:color="auto"/>
      </w:divBdr>
    </w:div>
    <w:div w:id="513110416">
      <w:bodyDiv w:val="1"/>
      <w:marLeft w:val="0"/>
      <w:marRight w:val="0"/>
      <w:marTop w:val="0"/>
      <w:marBottom w:val="0"/>
      <w:divBdr>
        <w:top w:val="none" w:sz="0" w:space="0" w:color="auto"/>
        <w:left w:val="none" w:sz="0" w:space="0" w:color="auto"/>
        <w:bottom w:val="none" w:sz="0" w:space="0" w:color="auto"/>
        <w:right w:val="none" w:sz="0" w:space="0" w:color="auto"/>
      </w:divBdr>
    </w:div>
    <w:div w:id="513301188">
      <w:bodyDiv w:val="1"/>
      <w:marLeft w:val="0"/>
      <w:marRight w:val="0"/>
      <w:marTop w:val="0"/>
      <w:marBottom w:val="0"/>
      <w:divBdr>
        <w:top w:val="none" w:sz="0" w:space="0" w:color="auto"/>
        <w:left w:val="none" w:sz="0" w:space="0" w:color="auto"/>
        <w:bottom w:val="none" w:sz="0" w:space="0" w:color="auto"/>
        <w:right w:val="none" w:sz="0" w:space="0" w:color="auto"/>
      </w:divBdr>
    </w:div>
    <w:div w:id="528690660">
      <w:bodyDiv w:val="1"/>
      <w:marLeft w:val="0"/>
      <w:marRight w:val="0"/>
      <w:marTop w:val="0"/>
      <w:marBottom w:val="0"/>
      <w:divBdr>
        <w:top w:val="none" w:sz="0" w:space="0" w:color="auto"/>
        <w:left w:val="none" w:sz="0" w:space="0" w:color="auto"/>
        <w:bottom w:val="none" w:sz="0" w:space="0" w:color="auto"/>
        <w:right w:val="none" w:sz="0" w:space="0" w:color="auto"/>
      </w:divBdr>
    </w:div>
    <w:div w:id="538205990">
      <w:bodyDiv w:val="1"/>
      <w:marLeft w:val="0"/>
      <w:marRight w:val="0"/>
      <w:marTop w:val="0"/>
      <w:marBottom w:val="0"/>
      <w:divBdr>
        <w:top w:val="none" w:sz="0" w:space="0" w:color="auto"/>
        <w:left w:val="none" w:sz="0" w:space="0" w:color="auto"/>
        <w:bottom w:val="none" w:sz="0" w:space="0" w:color="auto"/>
        <w:right w:val="none" w:sz="0" w:space="0" w:color="auto"/>
      </w:divBdr>
    </w:div>
    <w:div w:id="559171250">
      <w:bodyDiv w:val="1"/>
      <w:marLeft w:val="0"/>
      <w:marRight w:val="0"/>
      <w:marTop w:val="0"/>
      <w:marBottom w:val="0"/>
      <w:divBdr>
        <w:top w:val="none" w:sz="0" w:space="0" w:color="auto"/>
        <w:left w:val="none" w:sz="0" w:space="0" w:color="auto"/>
        <w:bottom w:val="none" w:sz="0" w:space="0" w:color="auto"/>
        <w:right w:val="none" w:sz="0" w:space="0" w:color="auto"/>
      </w:divBdr>
      <w:divsChild>
        <w:div w:id="5181249">
          <w:marLeft w:val="547"/>
          <w:marRight w:val="0"/>
          <w:marTop w:val="0"/>
          <w:marBottom w:val="0"/>
          <w:divBdr>
            <w:top w:val="none" w:sz="0" w:space="0" w:color="auto"/>
            <w:left w:val="none" w:sz="0" w:space="0" w:color="auto"/>
            <w:bottom w:val="none" w:sz="0" w:space="0" w:color="auto"/>
            <w:right w:val="none" w:sz="0" w:space="0" w:color="auto"/>
          </w:divBdr>
        </w:div>
        <w:div w:id="184372657">
          <w:marLeft w:val="547"/>
          <w:marRight w:val="0"/>
          <w:marTop w:val="0"/>
          <w:marBottom w:val="0"/>
          <w:divBdr>
            <w:top w:val="none" w:sz="0" w:space="0" w:color="auto"/>
            <w:left w:val="none" w:sz="0" w:space="0" w:color="auto"/>
            <w:bottom w:val="none" w:sz="0" w:space="0" w:color="auto"/>
            <w:right w:val="none" w:sz="0" w:space="0" w:color="auto"/>
          </w:divBdr>
        </w:div>
        <w:div w:id="312493044">
          <w:marLeft w:val="547"/>
          <w:marRight w:val="0"/>
          <w:marTop w:val="0"/>
          <w:marBottom w:val="0"/>
          <w:divBdr>
            <w:top w:val="none" w:sz="0" w:space="0" w:color="auto"/>
            <w:left w:val="none" w:sz="0" w:space="0" w:color="auto"/>
            <w:bottom w:val="none" w:sz="0" w:space="0" w:color="auto"/>
            <w:right w:val="none" w:sz="0" w:space="0" w:color="auto"/>
          </w:divBdr>
        </w:div>
        <w:div w:id="511141801">
          <w:marLeft w:val="547"/>
          <w:marRight w:val="0"/>
          <w:marTop w:val="0"/>
          <w:marBottom w:val="0"/>
          <w:divBdr>
            <w:top w:val="none" w:sz="0" w:space="0" w:color="auto"/>
            <w:left w:val="none" w:sz="0" w:space="0" w:color="auto"/>
            <w:bottom w:val="none" w:sz="0" w:space="0" w:color="auto"/>
            <w:right w:val="none" w:sz="0" w:space="0" w:color="auto"/>
          </w:divBdr>
        </w:div>
        <w:div w:id="731389651">
          <w:marLeft w:val="547"/>
          <w:marRight w:val="0"/>
          <w:marTop w:val="0"/>
          <w:marBottom w:val="0"/>
          <w:divBdr>
            <w:top w:val="none" w:sz="0" w:space="0" w:color="auto"/>
            <w:left w:val="none" w:sz="0" w:space="0" w:color="auto"/>
            <w:bottom w:val="none" w:sz="0" w:space="0" w:color="auto"/>
            <w:right w:val="none" w:sz="0" w:space="0" w:color="auto"/>
          </w:divBdr>
        </w:div>
        <w:div w:id="1037856832">
          <w:marLeft w:val="547"/>
          <w:marRight w:val="0"/>
          <w:marTop w:val="0"/>
          <w:marBottom w:val="0"/>
          <w:divBdr>
            <w:top w:val="none" w:sz="0" w:space="0" w:color="auto"/>
            <w:left w:val="none" w:sz="0" w:space="0" w:color="auto"/>
            <w:bottom w:val="none" w:sz="0" w:space="0" w:color="auto"/>
            <w:right w:val="none" w:sz="0" w:space="0" w:color="auto"/>
          </w:divBdr>
        </w:div>
        <w:div w:id="1254437869">
          <w:marLeft w:val="547"/>
          <w:marRight w:val="0"/>
          <w:marTop w:val="0"/>
          <w:marBottom w:val="0"/>
          <w:divBdr>
            <w:top w:val="none" w:sz="0" w:space="0" w:color="auto"/>
            <w:left w:val="none" w:sz="0" w:space="0" w:color="auto"/>
            <w:bottom w:val="none" w:sz="0" w:space="0" w:color="auto"/>
            <w:right w:val="none" w:sz="0" w:space="0" w:color="auto"/>
          </w:divBdr>
        </w:div>
        <w:div w:id="1377042477">
          <w:marLeft w:val="547"/>
          <w:marRight w:val="0"/>
          <w:marTop w:val="0"/>
          <w:marBottom w:val="0"/>
          <w:divBdr>
            <w:top w:val="none" w:sz="0" w:space="0" w:color="auto"/>
            <w:left w:val="none" w:sz="0" w:space="0" w:color="auto"/>
            <w:bottom w:val="none" w:sz="0" w:space="0" w:color="auto"/>
            <w:right w:val="none" w:sz="0" w:space="0" w:color="auto"/>
          </w:divBdr>
        </w:div>
        <w:div w:id="1687436570">
          <w:marLeft w:val="547"/>
          <w:marRight w:val="0"/>
          <w:marTop w:val="0"/>
          <w:marBottom w:val="0"/>
          <w:divBdr>
            <w:top w:val="none" w:sz="0" w:space="0" w:color="auto"/>
            <w:left w:val="none" w:sz="0" w:space="0" w:color="auto"/>
            <w:bottom w:val="none" w:sz="0" w:space="0" w:color="auto"/>
            <w:right w:val="none" w:sz="0" w:space="0" w:color="auto"/>
          </w:divBdr>
        </w:div>
        <w:div w:id="2046902296">
          <w:marLeft w:val="547"/>
          <w:marRight w:val="0"/>
          <w:marTop w:val="0"/>
          <w:marBottom w:val="0"/>
          <w:divBdr>
            <w:top w:val="none" w:sz="0" w:space="0" w:color="auto"/>
            <w:left w:val="none" w:sz="0" w:space="0" w:color="auto"/>
            <w:bottom w:val="none" w:sz="0" w:space="0" w:color="auto"/>
            <w:right w:val="none" w:sz="0" w:space="0" w:color="auto"/>
          </w:divBdr>
        </w:div>
      </w:divsChild>
    </w:div>
    <w:div w:id="576482978">
      <w:bodyDiv w:val="1"/>
      <w:marLeft w:val="0"/>
      <w:marRight w:val="0"/>
      <w:marTop w:val="0"/>
      <w:marBottom w:val="0"/>
      <w:divBdr>
        <w:top w:val="none" w:sz="0" w:space="0" w:color="auto"/>
        <w:left w:val="none" w:sz="0" w:space="0" w:color="auto"/>
        <w:bottom w:val="none" w:sz="0" w:space="0" w:color="auto"/>
        <w:right w:val="none" w:sz="0" w:space="0" w:color="auto"/>
      </w:divBdr>
    </w:div>
    <w:div w:id="705954965">
      <w:bodyDiv w:val="1"/>
      <w:marLeft w:val="0"/>
      <w:marRight w:val="0"/>
      <w:marTop w:val="0"/>
      <w:marBottom w:val="0"/>
      <w:divBdr>
        <w:top w:val="none" w:sz="0" w:space="0" w:color="auto"/>
        <w:left w:val="none" w:sz="0" w:space="0" w:color="auto"/>
        <w:bottom w:val="none" w:sz="0" w:space="0" w:color="auto"/>
        <w:right w:val="none" w:sz="0" w:space="0" w:color="auto"/>
      </w:divBdr>
    </w:div>
    <w:div w:id="718630174">
      <w:bodyDiv w:val="1"/>
      <w:marLeft w:val="0"/>
      <w:marRight w:val="0"/>
      <w:marTop w:val="0"/>
      <w:marBottom w:val="0"/>
      <w:divBdr>
        <w:top w:val="none" w:sz="0" w:space="0" w:color="auto"/>
        <w:left w:val="none" w:sz="0" w:space="0" w:color="auto"/>
        <w:bottom w:val="none" w:sz="0" w:space="0" w:color="auto"/>
        <w:right w:val="none" w:sz="0" w:space="0" w:color="auto"/>
      </w:divBdr>
    </w:div>
    <w:div w:id="767384874">
      <w:bodyDiv w:val="1"/>
      <w:marLeft w:val="0"/>
      <w:marRight w:val="0"/>
      <w:marTop w:val="0"/>
      <w:marBottom w:val="0"/>
      <w:divBdr>
        <w:top w:val="none" w:sz="0" w:space="0" w:color="auto"/>
        <w:left w:val="none" w:sz="0" w:space="0" w:color="auto"/>
        <w:bottom w:val="none" w:sz="0" w:space="0" w:color="auto"/>
        <w:right w:val="none" w:sz="0" w:space="0" w:color="auto"/>
      </w:divBdr>
    </w:div>
    <w:div w:id="776945083">
      <w:bodyDiv w:val="1"/>
      <w:marLeft w:val="0"/>
      <w:marRight w:val="0"/>
      <w:marTop w:val="0"/>
      <w:marBottom w:val="0"/>
      <w:divBdr>
        <w:top w:val="none" w:sz="0" w:space="0" w:color="auto"/>
        <w:left w:val="none" w:sz="0" w:space="0" w:color="auto"/>
        <w:bottom w:val="none" w:sz="0" w:space="0" w:color="auto"/>
        <w:right w:val="none" w:sz="0" w:space="0" w:color="auto"/>
      </w:divBdr>
    </w:div>
    <w:div w:id="779028532">
      <w:bodyDiv w:val="1"/>
      <w:marLeft w:val="0"/>
      <w:marRight w:val="0"/>
      <w:marTop w:val="0"/>
      <w:marBottom w:val="0"/>
      <w:divBdr>
        <w:top w:val="none" w:sz="0" w:space="0" w:color="auto"/>
        <w:left w:val="none" w:sz="0" w:space="0" w:color="auto"/>
        <w:bottom w:val="none" w:sz="0" w:space="0" w:color="auto"/>
        <w:right w:val="none" w:sz="0" w:space="0" w:color="auto"/>
      </w:divBdr>
    </w:div>
    <w:div w:id="813527087">
      <w:bodyDiv w:val="1"/>
      <w:marLeft w:val="0"/>
      <w:marRight w:val="0"/>
      <w:marTop w:val="0"/>
      <w:marBottom w:val="0"/>
      <w:divBdr>
        <w:top w:val="none" w:sz="0" w:space="0" w:color="auto"/>
        <w:left w:val="none" w:sz="0" w:space="0" w:color="auto"/>
        <w:bottom w:val="none" w:sz="0" w:space="0" w:color="auto"/>
        <w:right w:val="none" w:sz="0" w:space="0" w:color="auto"/>
      </w:divBdr>
    </w:div>
    <w:div w:id="900872036">
      <w:bodyDiv w:val="1"/>
      <w:marLeft w:val="0"/>
      <w:marRight w:val="0"/>
      <w:marTop w:val="0"/>
      <w:marBottom w:val="0"/>
      <w:divBdr>
        <w:top w:val="none" w:sz="0" w:space="0" w:color="auto"/>
        <w:left w:val="none" w:sz="0" w:space="0" w:color="auto"/>
        <w:bottom w:val="none" w:sz="0" w:space="0" w:color="auto"/>
        <w:right w:val="none" w:sz="0" w:space="0" w:color="auto"/>
      </w:divBdr>
    </w:div>
    <w:div w:id="901599496">
      <w:bodyDiv w:val="1"/>
      <w:marLeft w:val="0"/>
      <w:marRight w:val="0"/>
      <w:marTop w:val="0"/>
      <w:marBottom w:val="0"/>
      <w:divBdr>
        <w:top w:val="none" w:sz="0" w:space="0" w:color="auto"/>
        <w:left w:val="none" w:sz="0" w:space="0" w:color="auto"/>
        <w:bottom w:val="none" w:sz="0" w:space="0" w:color="auto"/>
        <w:right w:val="none" w:sz="0" w:space="0" w:color="auto"/>
      </w:divBdr>
    </w:div>
    <w:div w:id="928343461">
      <w:bodyDiv w:val="1"/>
      <w:marLeft w:val="0"/>
      <w:marRight w:val="0"/>
      <w:marTop w:val="0"/>
      <w:marBottom w:val="0"/>
      <w:divBdr>
        <w:top w:val="none" w:sz="0" w:space="0" w:color="auto"/>
        <w:left w:val="none" w:sz="0" w:space="0" w:color="auto"/>
        <w:bottom w:val="none" w:sz="0" w:space="0" w:color="auto"/>
        <w:right w:val="none" w:sz="0" w:space="0" w:color="auto"/>
      </w:divBdr>
    </w:div>
    <w:div w:id="966861537">
      <w:bodyDiv w:val="1"/>
      <w:marLeft w:val="0"/>
      <w:marRight w:val="0"/>
      <w:marTop w:val="0"/>
      <w:marBottom w:val="0"/>
      <w:divBdr>
        <w:top w:val="none" w:sz="0" w:space="0" w:color="auto"/>
        <w:left w:val="none" w:sz="0" w:space="0" w:color="auto"/>
        <w:bottom w:val="none" w:sz="0" w:space="0" w:color="auto"/>
        <w:right w:val="none" w:sz="0" w:space="0" w:color="auto"/>
      </w:divBdr>
    </w:div>
    <w:div w:id="1012344714">
      <w:bodyDiv w:val="1"/>
      <w:marLeft w:val="0"/>
      <w:marRight w:val="0"/>
      <w:marTop w:val="0"/>
      <w:marBottom w:val="0"/>
      <w:divBdr>
        <w:top w:val="none" w:sz="0" w:space="0" w:color="auto"/>
        <w:left w:val="none" w:sz="0" w:space="0" w:color="auto"/>
        <w:bottom w:val="none" w:sz="0" w:space="0" w:color="auto"/>
        <w:right w:val="none" w:sz="0" w:space="0" w:color="auto"/>
      </w:divBdr>
    </w:div>
    <w:div w:id="1016544887">
      <w:bodyDiv w:val="1"/>
      <w:marLeft w:val="0"/>
      <w:marRight w:val="0"/>
      <w:marTop w:val="0"/>
      <w:marBottom w:val="0"/>
      <w:divBdr>
        <w:top w:val="none" w:sz="0" w:space="0" w:color="auto"/>
        <w:left w:val="none" w:sz="0" w:space="0" w:color="auto"/>
        <w:bottom w:val="none" w:sz="0" w:space="0" w:color="auto"/>
        <w:right w:val="none" w:sz="0" w:space="0" w:color="auto"/>
      </w:divBdr>
    </w:div>
    <w:div w:id="1052076475">
      <w:bodyDiv w:val="1"/>
      <w:marLeft w:val="0"/>
      <w:marRight w:val="0"/>
      <w:marTop w:val="0"/>
      <w:marBottom w:val="0"/>
      <w:divBdr>
        <w:top w:val="none" w:sz="0" w:space="0" w:color="auto"/>
        <w:left w:val="none" w:sz="0" w:space="0" w:color="auto"/>
        <w:bottom w:val="none" w:sz="0" w:space="0" w:color="auto"/>
        <w:right w:val="none" w:sz="0" w:space="0" w:color="auto"/>
      </w:divBdr>
    </w:div>
    <w:div w:id="1058091696">
      <w:bodyDiv w:val="1"/>
      <w:marLeft w:val="0"/>
      <w:marRight w:val="0"/>
      <w:marTop w:val="0"/>
      <w:marBottom w:val="0"/>
      <w:divBdr>
        <w:top w:val="none" w:sz="0" w:space="0" w:color="auto"/>
        <w:left w:val="none" w:sz="0" w:space="0" w:color="auto"/>
        <w:bottom w:val="none" w:sz="0" w:space="0" w:color="auto"/>
        <w:right w:val="none" w:sz="0" w:space="0" w:color="auto"/>
      </w:divBdr>
    </w:div>
    <w:div w:id="1081488733">
      <w:bodyDiv w:val="1"/>
      <w:marLeft w:val="0"/>
      <w:marRight w:val="0"/>
      <w:marTop w:val="0"/>
      <w:marBottom w:val="0"/>
      <w:divBdr>
        <w:top w:val="none" w:sz="0" w:space="0" w:color="auto"/>
        <w:left w:val="none" w:sz="0" w:space="0" w:color="auto"/>
        <w:bottom w:val="none" w:sz="0" w:space="0" w:color="auto"/>
        <w:right w:val="none" w:sz="0" w:space="0" w:color="auto"/>
      </w:divBdr>
    </w:div>
    <w:div w:id="1102726057">
      <w:bodyDiv w:val="1"/>
      <w:marLeft w:val="0"/>
      <w:marRight w:val="0"/>
      <w:marTop w:val="0"/>
      <w:marBottom w:val="0"/>
      <w:divBdr>
        <w:top w:val="none" w:sz="0" w:space="0" w:color="auto"/>
        <w:left w:val="none" w:sz="0" w:space="0" w:color="auto"/>
        <w:bottom w:val="none" w:sz="0" w:space="0" w:color="auto"/>
        <w:right w:val="none" w:sz="0" w:space="0" w:color="auto"/>
      </w:divBdr>
    </w:div>
    <w:div w:id="1105541807">
      <w:bodyDiv w:val="1"/>
      <w:marLeft w:val="0"/>
      <w:marRight w:val="0"/>
      <w:marTop w:val="0"/>
      <w:marBottom w:val="0"/>
      <w:divBdr>
        <w:top w:val="none" w:sz="0" w:space="0" w:color="auto"/>
        <w:left w:val="none" w:sz="0" w:space="0" w:color="auto"/>
        <w:bottom w:val="none" w:sz="0" w:space="0" w:color="auto"/>
        <w:right w:val="none" w:sz="0" w:space="0" w:color="auto"/>
      </w:divBdr>
    </w:div>
    <w:div w:id="1137453329">
      <w:bodyDiv w:val="1"/>
      <w:marLeft w:val="0"/>
      <w:marRight w:val="0"/>
      <w:marTop w:val="0"/>
      <w:marBottom w:val="0"/>
      <w:divBdr>
        <w:top w:val="none" w:sz="0" w:space="0" w:color="auto"/>
        <w:left w:val="none" w:sz="0" w:space="0" w:color="auto"/>
        <w:bottom w:val="none" w:sz="0" w:space="0" w:color="auto"/>
        <w:right w:val="none" w:sz="0" w:space="0" w:color="auto"/>
      </w:divBdr>
    </w:div>
    <w:div w:id="1192181625">
      <w:bodyDiv w:val="1"/>
      <w:marLeft w:val="0"/>
      <w:marRight w:val="0"/>
      <w:marTop w:val="0"/>
      <w:marBottom w:val="0"/>
      <w:divBdr>
        <w:top w:val="none" w:sz="0" w:space="0" w:color="auto"/>
        <w:left w:val="none" w:sz="0" w:space="0" w:color="auto"/>
        <w:bottom w:val="none" w:sz="0" w:space="0" w:color="auto"/>
        <w:right w:val="none" w:sz="0" w:space="0" w:color="auto"/>
      </w:divBdr>
    </w:div>
    <w:div w:id="1216897048">
      <w:bodyDiv w:val="1"/>
      <w:marLeft w:val="0"/>
      <w:marRight w:val="0"/>
      <w:marTop w:val="0"/>
      <w:marBottom w:val="0"/>
      <w:divBdr>
        <w:top w:val="none" w:sz="0" w:space="0" w:color="auto"/>
        <w:left w:val="none" w:sz="0" w:space="0" w:color="auto"/>
        <w:bottom w:val="none" w:sz="0" w:space="0" w:color="auto"/>
        <w:right w:val="none" w:sz="0" w:space="0" w:color="auto"/>
      </w:divBdr>
    </w:div>
    <w:div w:id="1249269841">
      <w:bodyDiv w:val="1"/>
      <w:marLeft w:val="0"/>
      <w:marRight w:val="0"/>
      <w:marTop w:val="0"/>
      <w:marBottom w:val="0"/>
      <w:divBdr>
        <w:top w:val="none" w:sz="0" w:space="0" w:color="auto"/>
        <w:left w:val="none" w:sz="0" w:space="0" w:color="auto"/>
        <w:bottom w:val="none" w:sz="0" w:space="0" w:color="auto"/>
        <w:right w:val="none" w:sz="0" w:space="0" w:color="auto"/>
      </w:divBdr>
    </w:div>
    <w:div w:id="1264651635">
      <w:bodyDiv w:val="1"/>
      <w:marLeft w:val="0"/>
      <w:marRight w:val="0"/>
      <w:marTop w:val="0"/>
      <w:marBottom w:val="0"/>
      <w:divBdr>
        <w:top w:val="none" w:sz="0" w:space="0" w:color="auto"/>
        <w:left w:val="none" w:sz="0" w:space="0" w:color="auto"/>
        <w:bottom w:val="none" w:sz="0" w:space="0" w:color="auto"/>
        <w:right w:val="none" w:sz="0" w:space="0" w:color="auto"/>
      </w:divBdr>
    </w:div>
    <w:div w:id="1265306595">
      <w:bodyDiv w:val="1"/>
      <w:marLeft w:val="0"/>
      <w:marRight w:val="0"/>
      <w:marTop w:val="0"/>
      <w:marBottom w:val="0"/>
      <w:divBdr>
        <w:top w:val="none" w:sz="0" w:space="0" w:color="auto"/>
        <w:left w:val="none" w:sz="0" w:space="0" w:color="auto"/>
        <w:bottom w:val="none" w:sz="0" w:space="0" w:color="auto"/>
        <w:right w:val="none" w:sz="0" w:space="0" w:color="auto"/>
      </w:divBdr>
    </w:div>
    <w:div w:id="1272124391">
      <w:bodyDiv w:val="1"/>
      <w:marLeft w:val="0"/>
      <w:marRight w:val="0"/>
      <w:marTop w:val="0"/>
      <w:marBottom w:val="0"/>
      <w:divBdr>
        <w:top w:val="none" w:sz="0" w:space="0" w:color="auto"/>
        <w:left w:val="none" w:sz="0" w:space="0" w:color="auto"/>
        <w:bottom w:val="none" w:sz="0" w:space="0" w:color="auto"/>
        <w:right w:val="none" w:sz="0" w:space="0" w:color="auto"/>
      </w:divBdr>
    </w:div>
    <w:div w:id="1358504553">
      <w:bodyDiv w:val="1"/>
      <w:marLeft w:val="0"/>
      <w:marRight w:val="0"/>
      <w:marTop w:val="0"/>
      <w:marBottom w:val="0"/>
      <w:divBdr>
        <w:top w:val="none" w:sz="0" w:space="0" w:color="auto"/>
        <w:left w:val="none" w:sz="0" w:space="0" w:color="auto"/>
        <w:bottom w:val="none" w:sz="0" w:space="0" w:color="auto"/>
        <w:right w:val="none" w:sz="0" w:space="0" w:color="auto"/>
      </w:divBdr>
    </w:div>
    <w:div w:id="1547793526">
      <w:bodyDiv w:val="1"/>
      <w:marLeft w:val="0"/>
      <w:marRight w:val="0"/>
      <w:marTop w:val="0"/>
      <w:marBottom w:val="0"/>
      <w:divBdr>
        <w:top w:val="none" w:sz="0" w:space="0" w:color="auto"/>
        <w:left w:val="none" w:sz="0" w:space="0" w:color="auto"/>
        <w:bottom w:val="none" w:sz="0" w:space="0" w:color="auto"/>
        <w:right w:val="none" w:sz="0" w:space="0" w:color="auto"/>
      </w:divBdr>
    </w:div>
    <w:div w:id="1576429281">
      <w:bodyDiv w:val="1"/>
      <w:marLeft w:val="0"/>
      <w:marRight w:val="0"/>
      <w:marTop w:val="0"/>
      <w:marBottom w:val="0"/>
      <w:divBdr>
        <w:top w:val="none" w:sz="0" w:space="0" w:color="auto"/>
        <w:left w:val="none" w:sz="0" w:space="0" w:color="auto"/>
        <w:bottom w:val="none" w:sz="0" w:space="0" w:color="auto"/>
        <w:right w:val="none" w:sz="0" w:space="0" w:color="auto"/>
      </w:divBdr>
    </w:div>
    <w:div w:id="1606573272">
      <w:bodyDiv w:val="1"/>
      <w:marLeft w:val="0"/>
      <w:marRight w:val="0"/>
      <w:marTop w:val="0"/>
      <w:marBottom w:val="0"/>
      <w:divBdr>
        <w:top w:val="none" w:sz="0" w:space="0" w:color="auto"/>
        <w:left w:val="none" w:sz="0" w:space="0" w:color="auto"/>
        <w:bottom w:val="none" w:sz="0" w:space="0" w:color="auto"/>
        <w:right w:val="none" w:sz="0" w:space="0" w:color="auto"/>
      </w:divBdr>
    </w:div>
    <w:div w:id="1622691882">
      <w:bodyDiv w:val="1"/>
      <w:marLeft w:val="0"/>
      <w:marRight w:val="0"/>
      <w:marTop w:val="0"/>
      <w:marBottom w:val="0"/>
      <w:divBdr>
        <w:top w:val="none" w:sz="0" w:space="0" w:color="auto"/>
        <w:left w:val="none" w:sz="0" w:space="0" w:color="auto"/>
        <w:bottom w:val="none" w:sz="0" w:space="0" w:color="auto"/>
        <w:right w:val="none" w:sz="0" w:space="0" w:color="auto"/>
      </w:divBdr>
    </w:div>
    <w:div w:id="1637879604">
      <w:bodyDiv w:val="1"/>
      <w:marLeft w:val="0"/>
      <w:marRight w:val="0"/>
      <w:marTop w:val="0"/>
      <w:marBottom w:val="0"/>
      <w:divBdr>
        <w:top w:val="none" w:sz="0" w:space="0" w:color="auto"/>
        <w:left w:val="none" w:sz="0" w:space="0" w:color="auto"/>
        <w:bottom w:val="none" w:sz="0" w:space="0" w:color="auto"/>
        <w:right w:val="none" w:sz="0" w:space="0" w:color="auto"/>
      </w:divBdr>
    </w:div>
    <w:div w:id="1639919236">
      <w:bodyDiv w:val="1"/>
      <w:marLeft w:val="0"/>
      <w:marRight w:val="0"/>
      <w:marTop w:val="0"/>
      <w:marBottom w:val="0"/>
      <w:divBdr>
        <w:top w:val="none" w:sz="0" w:space="0" w:color="auto"/>
        <w:left w:val="none" w:sz="0" w:space="0" w:color="auto"/>
        <w:bottom w:val="none" w:sz="0" w:space="0" w:color="auto"/>
        <w:right w:val="none" w:sz="0" w:space="0" w:color="auto"/>
      </w:divBdr>
    </w:div>
    <w:div w:id="1707952280">
      <w:bodyDiv w:val="1"/>
      <w:marLeft w:val="0"/>
      <w:marRight w:val="0"/>
      <w:marTop w:val="0"/>
      <w:marBottom w:val="0"/>
      <w:divBdr>
        <w:top w:val="none" w:sz="0" w:space="0" w:color="auto"/>
        <w:left w:val="none" w:sz="0" w:space="0" w:color="auto"/>
        <w:bottom w:val="none" w:sz="0" w:space="0" w:color="auto"/>
        <w:right w:val="none" w:sz="0" w:space="0" w:color="auto"/>
      </w:divBdr>
    </w:div>
    <w:div w:id="1780442317">
      <w:bodyDiv w:val="1"/>
      <w:marLeft w:val="0"/>
      <w:marRight w:val="0"/>
      <w:marTop w:val="0"/>
      <w:marBottom w:val="0"/>
      <w:divBdr>
        <w:top w:val="none" w:sz="0" w:space="0" w:color="auto"/>
        <w:left w:val="none" w:sz="0" w:space="0" w:color="auto"/>
        <w:bottom w:val="none" w:sz="0" w:space="0" w:color="auto"/>
        <w:right w:val="none" w:sz="0" w:space="0" w:color="auto"/>
      </w:divBdr>
    </w:div>
    <w:div w:id="1798600514">
      <w:bodyDiv w:val="1"/>
      <w:marLeft w:val="0"/>
      <w:marRight w:val="0"/>
      <w:marTop w:val="0"/>
      <w:marBottom w:val="0"/>
      <w:divBdr>
        <w:top w:val="none" w:sz="0" w:space="0" w:color="auto"/>
        <w:left w:val="none" w:sz="0" w:space="0" w:color="auto"/>
        <w:bottom w:val="none" w:sz="0" w:space="0" w:color="auto"/>
        <w:right w:val="none" w:sz="0" w:space="0" w:color="auto"/>
      </w:divBdr>
    </w:div>
    <w:div w:id="1812093015">
      <w:bodyDiv w:val="1"/>
      <w:marLeft w:val="0"/>
      <w:marRight w:val="0"/>
      <w:marTop w:val="0"/>
      <w:marBottom w:val="0"/>
      <w:divBdr>
        <w:top w:val="none" w:sz="0" w:space="0" w:color="auto"/>
        <w:left w:val="none" w:sz="0" w:space="0" w:color="auto"/>
        <w:bottom w:val="none" w:sz="0" w:space="0" w:color="auto"/>
        <w:right w:val="none" w:sz="0" w:space="0" w:color="auto"/>
      </w:divBdr>
    </w:div>
    <w:div w:id="1831865150">
      <w:bodyDiv w:val="1"/>
      <w:marLeft w:val="0"/>
      <w:marRight w:val="0"/>
      <w:marTop w:val="0"/>
      <w:marBottom w:val="0"/>
      <w:divBdr>
        <w:top w:val="none" w:sz="0" w:space="0" w:color="auto"/>
        <w:left w:val="none" w:sz="0" w:space="0" w:color="auto"/>
        <w:bottom w:val="none" w:sz="0" w:space="0" w:color="auto"/>
        <w:right w:val="none" w:sz="0" w:space="0" w:color="auto"/>
      </w:divBdr>
    </w:div>
    <w:div w:id="1833989198">
      <w:bodyDiv w:val="1"/>
      <w:marLeft w:val="0"/>
      <w:marRight w:val="0"/>
      <w:marTop w:val="0"/>
      <w:marBottom w:val="0"/>
      <w:divBdr>
        <w:top w:val="none" w:sz="0" w:space="0" w:color="auto"/>
        <w:left w:val="none" w:sz="0" w:space="0" w:color="auto"/>
        <w:bottom w:val="none" w:sz="0" w:space="0" w:color="auto"/>
        <w:right w:val="none" w:sz="0" w:space="0" w:color="auto"/>
      </w:divBdr>
    </w:div>
    <w:div w:id="1844935538">
      <w:bodyDiv w:val="1"/>
      <w:marLeft w:val="0"/>
      <w:marRight w:val="0"/>
      <w:marTop w:val="0"/>
      <w:marBottom w:val="0"/>
      <w:divBdr>
        <w:top w:val="none" w:sz="0" w:space="0" w:color="auto"/>
        <w:left w:val="none" w:sz="0" w:space="0" w:color="auto"/>
        <w:bottom w:val="none" w:sz="0" w:space="0" w:color="auto"/>
        <w:right w:val="none" w:sz="0" w:space="0" w:color="auto"/>
      </w:divBdr>
    </w:div>
    <w:div w:id="1860049019">
      <w:bodyDiv w:val="1"/>
      <w:marLeft w:val="0"/>
      <w:marRight w:val="0"/>
      <w:marTop w:val="0"/>
      <w:marBottom w:val="0"/>
      <w:divBdr>
        <w:top w:val="none" w:sz="0" w:space="0" w:color="auto"/>
        <w:left w:val="none" w:sz="0" w:space="0" w:color="auto"/>
        <w:bottom w:val="none" w:sz="0" w:space="0" w:color="auto"/>
        <w:right w:val="none" w:sz="0" w:space="0" w:color="auto"/>
      </w:divBdr>
    </w:div>
    <w:div w:id="2029213027">
      <w:bodyDiv w:val="1"/>
      <w:marLeft w:val="0"/>
      <w:marRight w:val="0"/>
      <w:marTop w:val="0"/>
      <w:marBottom w:val="0"/>
      <w:divBdr>
        <w:top w:val="none" w:sz="0" w:space="0" w:color="auto"/>
        <w:left w:val="none" w:sz="0" w:space="0" w:color="auto"/>
        <w:bottom w:val="none" w:sz="0" w:space="0" w:color="auto"/>
        <w:right w:val="none" w:sz="0" w:space="0" w:color="auto"/>
      </w:divBdr>
    </w:div>
    <w:div w:id="2034262429">
      <w:bodyDiv w:val="1"/>
      <w:marLeft w:val="0"/>
      <w:marRight w:val="0"/>
      <w:marTop w:val="0"/>
      <w:marBottom w:val="0"/>
      <w:divBdr>
        <w:top w:val="none" w:sz="0" w:space="0" w:color="auto"/>
        <w:left w:val="none" w:sz="0" w:space="0" w:color="auto"/>
        <w:bottom w:val="none" w:sz="0" w:space="0" w:color="auto"/>
        <w:right w:val="none" w:sz="0" w:space="0" w:color="auto"/>
      </w:divBdr>
    </w:div>
    <w:div w:id="2040009864">
      <w:bodyDiv w:val="1"/>
      <w:marLeft w:val="0"/>
      <w:marRight w:val="0"/>
      <w:marTop w:val="0"/>
      <w:marBottom w:val="0"/>
      <w:divBdr>
        <w:top w:val="none" w:sz="0" w:space="0" w:color="auto"/>
        <w:left w:val="none" w:sz="0" w:space="0" w:color="auto"/>
        <w:bottom w:val="none" w:sz="0" w:space="0" w:color="auto"/>
        <w:right w:val="none" w:sz="0" w:space="0" w:color="auto"/>
      </w:divBdr>
      <w:divsChild>
        <w:div w:id="1043561854">
          <w:marLeft w:val="0"/>
          <w:marRight w:val="0"/>
          <w:marTop w:val="0"/>
          <w:marBottom w:val="0"/>
          <w:divBdr>
            <w:top w:val="none" w:sz="0" w:space="0" w:color="auto"/>
            <w:left w:val="none" w:sz="0" w:space="0" w:color="auto"/>
            <w:bottom w:val="none" w:sz="0" w:space="0" w:color="auto"/>
            <w:right w:val="none" w:sz="0" w:space="0" w:color="auto"/>
          </w:divBdr>
        </w:div>
        <w:div w:id="2112358131">
          <w:marLeft w:val="0"/>
          <w:marRight w:val="0"/>
          <w:marTop w:val="0"/>
          <w:marBottom w:val="0"/>
          <w:divBdr>
            <w:top w:val="none" w:sz="0" w:space="0" w:color="auto"/>
            <w:left w:val="none" w:sz="0" w:space="0" w:color="auto"/>
            <w:bottom w:val="none" w:sz="0" w:space="0" w:color="auto"/>
            <w:right w:val="none" w:sz="0" w:space="0" w:color="auto"/>
          </w:divBdr>
        </w:div>
        <w:div w:id="642393624">
          <w:marLeft w:val="0"/>
          <w:marRight w:val="0"/>
          <w:marTop w:val="0"/>
          <w:marBottom w:val="0"/>
          <w:divBdr>
            <w:top w:val="none" w:sz="0" w:space="0" w:color="auto"/>
            <w:left w:val="none" w:sz="0" w:space="0" w:color="auto"/>
            <w:bottom w:val="none" w:sz="0" w:space="0" w:color="auto"/>
            <w:right w:val="none" w:sz="0" w:space="0" w:color="auto"/>
          </w:divBdr>
        </w:div>
        <w:div w:id="202404111">
          <w:marLeft w:val="0"/>
          <w:marRight w:val="0"/>
          <w:marTop w:val="0"/>
          <w:marBottom w:val="0"/>
          <w:divBdr>
            <w:top w:val="none" w:sz="0" w:space="0" w:color="auto"/>
            <w:left w:val="none" w:sz="0" w:space="0" w:color="auto"/>
            <w:bottom w:val="none" w:sz="0" w:space="0" w:color="auto"/>
            <w:right w:val="none" w:sz="0" w:space="0" w:color="auto"/>
          </w:divBdr>
        </w:div>
        <w:div w:id="2030182909">
          <w:marLeft w:val="0"/>
          <w:marRight w:val="0"/>
          <w:marTop w:val="0"/>
          <w:marBottom w:val="0"/>
          <w:divBdr>
            <w:top w:val="none" w:sz="0" w:space="0" w:color="auto"/>
            <w:left w:val="none" w:sz="0" w:space="0" w:color="auto"/>
            <w:bottom w:val="none" w:sz="0" w:space="0" w:color="auto"/>
            <w:right w:val="none" w:sz="0" w:space="0" w:color="auto"/>
          </w:divBdr>
        </w:div>
        <w:div w:id="89738486">
          <w:marLeft w:val="0"/>
          <w:marRight w:val="0"/>
          <w:marTop w:val="0"/>
          <w:marBottom w:val="0"/>
          <w:divBdr>
            <w:top w:val="none" w:sz="0" w:space="0" w:color="auto"/>
            <w:left w:val="none" w:sz="0" w:space="0" w:color="auto"/>
            <w:bottom w:val="none" w:sz="0" w:space="0" w:color="auto"/>
            <w:right w:val="none" w:sz="0" w:space="0" w:color="auto"/>
          </w:divBdr>
        </w:div>
        <w:div w:id="470632726">
          <w:marLeft w:val="0"/>
          <w:marRight w:val="0"/>
          <w:marTop w:val="0"/>
          <w:marBottom w:val="0"/>
          <w:divBdr>
            <w:top w:val="none" w:sz="0" w:space="0" w:color="auto"/>
            <w:left w:val="none" w:sz="0" w:space="0" w:color="auto"/>
            <w:bottom w:val="none" w:sz="0" w:space="0" w:color="auto"/>
            <w:right w:val="none" w:sz="0" w:space="0" w:color="auto"/>
          </w:divBdr>
        </w:div>
        <w:div w:id="1541746073">
          <w:marLeft w:val="0"/>
          <w:marRight w:val="0"/>
          <w:marTop w:val="0"/>
          <w:marBottom w:val="0"/>
          <w:divBdr>
            <w:top w:val="none" w:sz="0" w:space="0" w:color="auto"/>
            <w:left w:val="none" w:sz="0" w:space="0" w:color="auto"/>
            <w:bottom w:val="none" w:sz="0" w:space="0" w:color="auto"/>
            <w:right w:val="none" w:sz="0" w:space="0" w:color="auto"/>
          </w:divBdr>
        </w:div>
        <w:div w:id="1388261045">
          <w:marLeft w:val="0"/>
          <w:marRight w:val="0"/>
          <w:marTop w:val="0"/>
          <w:marBottom w:val="0"/>
          <w:divBdr>
            <w:top w:val="none" w:sz="0" w:space="0" w:color="auto"/>
            <w:left w:val="none" w:sz="0" w:space="0" w:color="auto"/>
            <w:bottom w:val="none" w:sz="0" w:space="0" w:color="auto"/>
            <w:right w:val="none" w:sz="0" w:space="0" w:color="auto"/>
          </w:divBdr>
        </w:div>
      </w:divsChild>
    </w:div>
    <w:div w:id="2059888138">
      <w:bodyDiv w:val="1"/>
      <w:marLeft w:val="0"/>
      <w:marRight w:val="0"/>
      <w:marTop w:val="0"/>
      <w:marBottom w:val="0"/>
      <w:divBdr>
        <w:top w:val="none" w:sz="0" w:space="0" w:color="auto"/>
        <w:left w:val="none" w:sz="0" w:space="0" w:color="auto"/>
        <w:bottom w:val="none" w:sz="0" w:space="0" w:color="auto"/>
        <w:right w:val="none" w:sz="0" w:space="0" w:color="auto"/>
      </w:divBdr>
    </w:div>
    <w:div w:id="2125809242">
      <w:bodyDiv w:val="1"/>
      <w:marLeft w:val="0"/>
      <w:marRight w:val="0"/>
      <w:marTop w:val="0"/>
      <w:marBottom w:val="0"/>
      <w:divBdr>
        <w:top w:val="none" w:sz="0" w:space="0" w:color="auto"/>
        <w:left w:val="none" w:sz="0" w:space="0" w:color="auto"/>
        <w:bottom w:val="none" w:sz="0" w:space="0" w:color="auto"/>
        <w:right w:val="none" w:sz="0" w:space="0" w:color="auto"/>
      </w:divBdr>
    </w:div>
    <w:div w:id="213563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eddiewaller@smsfassociation.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DPCDConsultations@treasury.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image" Target="cid:image001.png@01D39461.C4716260"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asic.gov.au/about-asic/news-centre/find-a-media-release/2026-releases/26-175mr-asic-sues-auditeo-and-auditors-over-alleged-first-guardian-audit-failures/" TargetMode="External"/><Relationship Id="rId2" Type="http://schemas.openxmlformats.org/officeDocument/2006/relationships/hyperlink" Target="https://www.ethicsboard.org/publications/2025-handbook-international-code-ethics-professional-accountants" TargetMode="External"/><Relationship Id="rId1" Type="http://schemas.openxmlformats.org/officeDocument/2006/relationships/hyperlink" Target="https://www.iaasb.org/publications/international-standard-quality-management-isqm-1-quality-management-firms-perform-audits-or-review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7D92874A96C674D8CC20C0B0964A5E8" ma:contentTypeVersion="17" ma:contentTypeDescription="Create a new document." ma:contentTypeScope="" ma:versionID="69d9ff47015ec8ffb95a9d17ee53256d">
  <xsd:schema xmlns:xsd="http://www.w3.org/2001/XMLSchema" xmlns:xs="http://www.w3.org/2001/XMLSchema" xmlns:p="http://schemas.microsoft.com/office/2006/metadata/properties" xmlns:ns2="0411374a-81b2-413b-9e46-454444fdfe26" xmlns:ns3="78a2c824-aab8-4078-b9f6-ed3f56f59b4b" targetNamespace="http://schemas.microsoft.com/office/2006/metadata/properties" ma:root="true" ma:fieldsID="1e806a3024cf1f5041688a08d370ce5d" ns2:_="" ns3:_="">
    <xsd:import namespace="0411374a-81b2-413b-9e46-454444fdfe26"/>
    <xsd:import namespace="78a2c824-aab8-4078-b9f6-ed3f56f59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_dlc_DocId" minOccurs="0"/>
                <xsd:element ref="ns3:_dlc_DocIdUrl" minOccurs="0"/>
                <xsd:element ref="ns3:_dlc_DocIdPersistId"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11374a-81b2-413b-9e46-454444fdfe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51975ff-5598-49e3-b4cf-afe1e6fe7f2d"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a2c824-aab8-4078-b9f6-ed3f56f59b4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c622cf4-53a4-44dc-a071-89189250e269}" ma:internalName="TaxCatchAll" ma:showField="CatchAllData" ma:web="78a2c824-aab8-4078-b9f6-ed3f56f59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8a2c824-aab8-4078-b9f6-ed3f56f59b4b">YUMAAFUV7ZJF-232996016-32048</_dlc_DocId>
    <_dlc_DocIdUrl xmlns="78a2c824-aab8-4078-b9f6-ed3f56f59b4b">
      <Url>https://smsfa.sharepoint.com/_layouts/15/DocIdRedir.aspx?ID=YUMAAFUV7ZJF-232996016-32048</Url>
      <Description>YUMAAFUV7ZJF-232996016-32048</Description>
    </_dlc_DocIdUrl>
    <lcf76f155ced4ddcb4097134ff3c332f xmlns="0411374a-81b2-413b-9e46-454444fdfe26">
      <Terms xmlns="http://schemas.microsoft.com/office/infopath/2007/PartnerControls"/>
    </lcf76f155ced4ddcb4097134ff3c332f>
    <TaxCatchAll xmlns="78a2c824-aab8-4078-b9f6-ed3f56f59b4b" xsi:nil="true"/>
  </documentManagement>
</p:properties>
</file>

<file path=customXml/itemProps1.xml><?xml version="1.0" encoding="utf-8"?>
<ds:datastoreItem xmlns:ds="http://schemas.openxmlformats.org/officeDocument/2006/customXml" ds:itemID="{5256EFC6-F9A8-4375-BFFE-9F5BADEC7298}">
  <ds:schemaRefs>
    <ds:schemaRef ds:uri="http://schemas.microsoft.com/sharepoint/events"/>
  </ds:schemaRefs>
</ds:datastoreItem>
</file>

<file path=customXml/itemProps2.xml><?xml version="1.0" encoding="utf-8"?>
<ds:datastoreItem xmlns:ds="http://schemas.openxmlformats.org/officeDocument/2006/customXml" ds:itemID="{5ACDA3BC-793F-4356-A1E4-B5E7D433F686}">
  <ds:schemaRefs>
    <ds:schemaRef ds:uri="http://schemas.microsoft.com/sharepoint/v3/contenttype/forms"/>
  </ds:schemaRefs>
</ds:datastoreItem>
</file>

<file path=customXml/itemProps3.xml><?xml version="1.0" encoding="utf-8"?>
<ds:datastoreItem xmlns:ds="http://schemas.openxmlformats.org/officeDocument/2006/customXml" ds:itemID="{24F721BF-D419-4F76-905D-AF5F71C7B465}">
  <ds:schemaRefs>
    <ds:schemaRef ds:uri="http://schemas.openxmlformats.org/officeDocument/2006/bibliography"/>
  </ds:schemaRefs>
</ds:datastoreItem>
</file>

<file path=customXml/itemProps4.xml><?xml version="1.0" encoding="utf-8"?>
<ds:datastoreItem xmlns:ds="http://schemas.openxmlformats.org/officeDocument/2006/customXml" ds:itemID="{769F2734-E738-4730-9073-C98A958B3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11374a-81b2-413b-9e46-454444fdfe26"/>
    <ds:schemaRef ds:uri="78a2c824-aab8-4078-b9f6-ed3f56f59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170D59-81D6-41E5-A77F-5B62B9AAD42A}">
  <ds:schemaRefs>
    <ds:schemaRef ds:uri="http://schemas.microsoft.com/office/2006/metadata/properties"/>
    <ds:schemaRef ds:uri="http://schemas.microsoft.com/office/infopath/2007/PartnerControls"/>
    <ds:schemaRef ds:uri="78a2c824-aab8-4078-b9f6-ed3f56f59b4b"/>
    <ds:schemaRef ds:uri="0411374a-81b2-413b-9e46-454444fdfe26"/>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2885</Words>
  <Characters>16446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19293</CharactersWithSpaces>
  <SharedDoc>false</SharedDoc>
  <HLinks>
    <vt:vector size="30" baseType="variant">
      <vt:variant>
        <vt:i4>1966117</vt:i4>
      </vt:variant>
      <vt:variant>
        <vt:i4>3</vt:i4>
      </vt:variant>
      <vt:variant>
        <vt:i4>0</vt:i4>
      </vt:variant>
      <vt:variant>
        <vt:i4>5</vt:i4>
      </vt:variant>
      <vt:variant>
        <vt:lpwstr>mailto:keddiewaller@smsfassociation.com</vt:lpwstr>
      </vt:variant>
      <vt:variant>
        <vt:lpwstr/>
      </vt:variant>
      <vt:variant>
        <vt:i4>720999</vt:i4>
      </vt:variant>
      <vt:variant>
        <vt:i4>0</vt:i4>
      </vt:variant>
      <vt:variant>
        <vt:i4>0</vt:i4>
      </vt:variant>
      <vt:variant>
        <vt:i4>5</vt:i4>
      </vt:variant>
      <vt:variant>
        <vt:lpwstr>mailto:DPCDConsultations@treasury.gov.au</vt:lpwstr>
      </vt:variant>
      <vt:variant>
        <vt:lpwstr/>
      </vt:variant>
      <vt:variant>
        <vt:i4>262161</vt:i4>
      </vt:variant>
      <vt:variant>
        <vt:i4>6</vt:i4>
      </vt:variant>
      <vt:variant>
        <vt:i4>0</vt:i4>
      </vt:variant>
      <vt:variant>
        <vt:i4>5</vt:i4>
      </vt:variant>
      <vt:variant>
        <vt:lpwstr>https://www.asic.gov.au/about-asic/news-centre/find-a-media-release/2026-releases/26-175mr-asic-sues-auditeo-and-auditors-over-alleged-first-guardian-audit-failures/</vt:lpwstr>
      </vt:variant>
      <vt:variant>
        <vt:lpwstr/>
      </vt:variant>
      <vt:variant>
        <vt:i4>655434</vt:i4>
      </vt:variant>
      <vt:variant>
        <vt:i4>3</vt:i4>
      </vt:variant>
      <vt:variant>
        <vt:i4>0</vt:i4>
      </vt:variant>
      <vt:variant>
        <vt:i4>5</vt:i4>
      </vt:variant>
      <vt:variant>
        <vt:lpwstr>https://www.ethicsboard.org/publications/2025-handbook-international-code-ethics-professional-accountants</vt:lpwstr>
      </vt:variant>
      <vt:variant>
        <vt:lpwstr/>
      </vt:variant>
      <vt:variant>
        <vt:i4>3407921</vt:i4>
      </vt:variant>
      <vt:variant>
        <vt:i4>0</vt:i4>
      </vt:variant>
      <vt:variant>
        <vt:i4>0</vt:i4>
      </vt:variant>
      <vt:variant>
        <vt:i4>5</vt:i4>
      </vt:variant>
      <vt:variant>
        <vt:lpwstr>https://www.iaasb.org/publications/international-standard-quality-management-isqm-1-quality-management-firms-perform-audits-or-reviews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Jordan George</dc:creator>
  <cp:lastModifiedBy>Keddie Waller</cp:lastModifiedBy>
  <cp:revision>3</cp:revision>
  <cp:lastPrinted>2025-02-14T03:55:00Z</cp:lastPrinted>
  <dcterms:created xsi:type="dcterms:W3CDTF">2026-08-12T04:08:00Z</dcterms:created>
  <dcterms:modified xsi:type="dcterms:W3CDTF">2026-08-12T04:09:00Z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0x01010067D92874A96C674D8CC20C0B0964A5E8</vt:lpwstr>
  </property>
  <property fmtid="{D5CDD505-2E9C-101B-9397-08002B2CF9AE}" pid="3" name="Order">
    <vt:r8>96900</vt:r8>
  </property>
  <property fmtid="{D5CDD505-2E9C-101B-9397-08002B2CF9AE}" pid="4" name="MediaServiceImageTags">
    <vt:lpwstr/>
  </property>
  <property fmtid="{D5CDD505-2E9C-101B-9397-08002B2CF9AE}" pid="5" name="docLang">
    <vt:lpwstr>en</vt:lpwstr>
  </property>
  <property fmtid="{D5CDD505-2E9C-101B-9397-08002B2CF9AE}" pid="6" name="_dlc_DocIdItemGuid">
    <vt:lpwstr>583b7d45-d33f-4bb0-a511-1cbd8df6df48</vt:lpwstr>
  </property>
</Properties>
</file>